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A883" w14:textId="3EC19D0F" w:rsidR="00967247" w:rsidRPr="00586098" w:rsidRDefault="00967247" w:rsidP="00967247">
      <w:pPr>
        <w:pStyle w:val="Header"/>
        <w:jc w:val="center"/>
        <w:rPr>
          <w:b/>
          <w:bCs/>
        </w:rPr>
      </w:pPr>
      <w:r w:rsidRPr="00586098">
        <w:rPr>
          <w:b/>
          <w:bCs/>
        </w:rPr>
        <w:t xml:space="preserve">PUC DOCKET NO. </w:t>
      </w:r>
      <w:r w:rsidR="002B1ACC">
        <w:rPr>
          <w:b/>
          <w:bCs/>
        </w:rPr>
        <w:t>56211</w:t>
      </w:r>
    </w:p>
    <w:p w14:paraId="09308921" w14:textId="77777777" w:rsidR="00967247" w:rsidRDefault="00967247"/>
    <w:p w14:paraId="08798294" w14:textId="77777777" w:rsidR="00967247" w:rsidRDefault="00967247"/>
    <w:p w14:paraId="537DA3DA" w14:textId="77777777" w:rsidR="00967247" w:rsidRDefault="00967247"/>
    <w:tbl>
      <w:tblPr>
        <w:tblW w:w="9720" w:type="dxa"/>
        <w:tblInd w:w="-410" w:type="dxa"/>
        <w:tblLayout w:type="fixed"/>
        <w:tblCellMar>
          <w:left w:w="40" w:type="dxa"/>
          <w:right w:w="40" w:type="dxa"/>
        </w:tblCellMar>
        <w:tblLook w:val="0000" w:firstRow="0" w:lastRow="0" w:firstColumn="0" w:lastColumn="0" w:noHBand="0" w:noVBand="0"/>
      </w:tblPr>
      <w:tblGrid>
        <w:gridCol w:w="4550"/>
        <w:gridCol w:w="540"/>
        <w:gridCol w:w="4630"/>
      </w:tblGrid>
      <w:tr w:rsidR="00365427" w:rsidRPr="00BA04DA" w14:paraId="478C0288" w14:textId="77777777" w:rsidTr="00EB2BC1">
        <w:tc>
          <w:tcPr>
            <w:tcW w:w="4550" w:type="dxa"/>
            <w:tcBorders>
              <w:top w:val="nil"/>
              <w:left w:val="nil"/>
              <w:bottom w:val="nil"/>
              <w:right w:val="nil"/>
            </w:tcBorders>
          </w:tcPr>
          <w:p w14:paraId="57A0A1C0" w14:textId="1276B798" w:rsidR="00BA04DA" w:rsidRPr="00BA04DA" w:rsidRDefault="00BA04DA" w:rsidP="00971AFD">
            <w:pPr>
              <w:widowControl w:val="0"/>
              <w:autoSpaceDE w:val="0"/>
              <w:autoSpaceDN w:val="0"/>
              <w:adjustRightInd w:val="0"/>
              <w:spacing w:line="240" w:lineRule="atLeast"/>
              <w:rPr>
                <w:b/>
                <w:snapToGrid w:val="0"/>
                <w:szCs w:val="24"/>
              </w:rPr>
            </w:pPr>
            <w:r w:rsidRPr="00BA04DA">
              <w:rPr>
                <w:b/>
                <w:bCs/>
                <w:snapToGrid w:val="0"/>
                <w:szCs w:val="24"/>
              </w:rPr>
              <w:t xml:space="preserve">APPLICATION OF </w:t>
            </w:r>
            <w:r w:rsidRPr="00E014B5">
              <w:rPr>
                <w:b/>
                <w:snapToGrid w:val="0"/>
                <w:color w:val="000000"/>
                <w:szCs w:val="24"/>
              </w:rPr>
              <w:t>CENTERPOINT</w:t>
            </w:r>
            <w:r w:rsidRPr="00BA04DA">
              <w:rPr>
                <w:b/>
                <w:bCs/>
                <w:snapToGrid w:val="0"/>
                <w:szCs w:val="24"/>
              </w:rPr>
              <w:t xml:space="preserve"> ENERGY HOUSTON ELECTRIC, LLC FOR AUTHORITY TO CHANGE RATES</w:t>
            </w:r>
          </w:p>
        </w:tc>
        <w:tc>
          <w:tcPr>
            <w:tcW w:w="540" w:type="dxa"/>
            <w:tcBorders>
              <w:top w:val="nil"/>
              <w:left w:val="nil"/>
              <w:bottom w:val="nil"/>
              <w:right w:val="nil"/>
            </w:tcBorders>
          </w:tcPr>
          <w:p w14:paraId="486A20A3"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2A72D78C"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12C3D088" w14:textId="77777777"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r w:rsidRPr="00BA04DA">
              <w:rPr>
                <w:b/>
                <w:snapToGrid w:val="0"/>
                <w:color w:val="000000"/>
                <w:szCs w:val="24"/>
              </w:rPr>
              <w:t>§</w:t>
            </w:r>
          </w:p>
          <w:p w14:paraId="7D23AD7F" w14:textId="4524457D" w:rsidR="00BA04DA" w:rsidRPr="00BA04DA" w:rsidRDefault="00BA04DA" w:rsidP="00BA04DA">
            <w:pPr>
              <w:widowControl w:val="0"/>
              <w:autoSpaceDE w:val="0"/>
              <w:autoSpaceDN w:val="0"/>
              <w:adjustRightInd w:val="0"/>
              <w:spacing w:line="240" w:lineRule="atLeast"/>
              <w:ind w:left="108" w:right="108"/>
              <w:jc w:val="center"/>
              <w:rPr>
                <w:b/>
                <w:snapToGrid w:val="0"/>
                <w:color w:val="000000"/>
                <w:szCs w:val="24"/>
              </w:rPr>
            </w:pPr>
          </w:p>
        </w:tc>
        <w:tc>
          <w:tcPr>
            <w:tcW w:w="4630" w:type="dxa"/>
            <w:tcBorders>
              <w:top w:val="nil"/>
              <w:left w:val="nil"/>
              <w:bottom w:val="nil"/>
              <w:right w:val="nil"/>
            </w:tcBorders>
          </w:tcPr>
          <w:p w14:paraId="5CC3D4E6"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r w:rsidRPr="00BA04DA">
              <w:rPr>
                <w:b/>
                <w:snapToGrid w:val="0"/>
                <w:color w:val="000000"/>
                <w:szCs w:val="24"/>
              </w:rPr>
              <w:t>PUBLIC UTILITY COMMISSION</w:t>
            </w:r>
          </w:p>
          <w:p w14:paraId="5FCB6DD2"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p>
          <w:p w14:paraId="1A40EB35" w14:textId="77777777" w:rsidR="00BA04DA" w:rsidRPr="00BA04DA" w:rsidRDefault="00BA04DA" w:rsidP="00BA04DA">
            <w:pPr>
              <w:widowControl w:val="0"/>
              <w:autoSpaceDE w:val="0"/>
              <w:autoSpaceDN w:val="0"/>
              <w:adjustRightInd w:val="0"/>
              <w:spacing w:line="240" w:lineRule="atLeast"/>
              <w:ind w:right="108"/>
              <w:jc w:val="center"/>
              <w:rPr>
                <w:b/>
                <w:snapToGrid w:val="0"/>
                <w:color w:val="000000"/>
                <w:szCs w:val="24"/>
              </w:rPr>
            </w:pPr>
            <w:r w:rsidRPr="00BA04DA">
              <w:rPr>
                <w:b/>
                <w:snapToGrid w:val="0"/>
                <w:color w:val="000000"/>
                <w:szCs w:val="24"/>
              </w:rPr>
              <w:t>OF TEXAS</w:t>
            </w:r>
          </w:p>
        </w:tc>
      </w:tr>
    </w:tbl>
    <w:p w14:paraId="07FB0039" w14:textId="77777777" w:rsidR="008C7BD6" w:rsidRPr="00A0228C" w:rsidRDefault="008C7BD6" w:rsidP="008C7BD6">
      <w:pPr>
        <w:autoSpaceDE w:val="0"/>
        <w:autoSpaceDN w:val="0"/>
        <w:adjustRightInd w:val="0"/>
        <w:spacing w:line="240" w:lineRule="atLeast"/>
        <w:jc w:val="center"/>
        <w:rPr>
          <w:b/>
          <w:color w:val="000000"/>
          <w:szCs w:val="24"/>
        </w:rPr>
      </w:pPr>
    </w:p>
    <w:p w14:paraId="4344466D" w14:textId="77777777" w:rsidR="008C7BD6" w:rsidRPr="00A0228C" w:rsidRDefault="008C7BD6" w:rsidP="008C7BD6">
      <w:pPr>
        <w:autoSpaceDE w:val="0"/>
        <w:autoSpaceDN w:val="0"/>
        <w:adjustRightInd w:val="0"/>
        <w:spacing w:line="240" w:lineRule="atLeast"/>
        <w:jc w:val="center"/>
        <w:rPr>
          <w:b/>
          <w:color w:val="000000"/>
          <w:szCs w:val="24"/>
        </w:rPr>
      </w:pPr>
    </w:p>
    <w:p w14:paraId="2D4E9486" w14:textId="77777777" w:rsidR="008C7BD6" w:rsidRPr="00A0228C" w:rsidRDefault="008C7BD6" w:rsidP="008C7BD6">
      <w:pPr>
        <w:autoSpaceDE w:val="0"/>
        <w:autoSpaceDN w:val="0"/>
        <w:adjustRightInd w:val="0"/>
        <w:spacing w:line="240" w:lineRule="atLeast"/>
        <w:jc w:val="center"/>
        <w:rPr>
          <w:b/>
          <w:color w:val="000000"/>
          <w:szCs w:val="24"/>
        </w:rPr>
      </w:pPr>
    </w:p>
    <w:p w14:paraId="3AA492C0" w14:textId="77777777" w:rsidR="008C7BD6" w:rsidRPr="00A0228C" w:rsidRDefault="008C7BD6" w:rsidP="008C7BD6">
      <w:pPr>
        <w:autoSpaceDE w:val="0"/>
        <w:autoSpaceDN w:val="0"/>
        <w:adjustRightInd w:val="0"/>
        <w:spacing w:line="240" w:lineRule="atLeast"/>
        <w:jc w:val="center"/>
        <w:rPr>
          <w:b/>
          <w:color w:val="000000"/>
          <w:szCs w:val="24"/>
        </w:rPr>
      </w:pPr>
    </w:p>
    <w:p w14:paraId="569EA0D2" w14:textId="77777777" w:rsidR="008C7BD6" w:rsidRPr="00A0228C" w:rsidRDefault="008C7BD6" w:rsidP="008C7BD6">
      <w:pPr>
        <w:autoSpaceDE w:val="0"/>
        <w:autoSpaceDN w:val="0"/>
        <w:adjustRightInd w:val="0"/>
        <w:spacing w:line="240" w:lineRule="atLeast"/>
        <w:jc w:val="center"/>
        <w:rPr>
          <w:b/>
          <w:color w:val="000000"/>
          <w:szCs w:val="24"/>
        </w:rPr>
      </w:pPr>
    </w:p>
    <w:p w14:paraId="1E8C86A9" w14:textId="77777777" w:rsidR="008C7BD6" w:rsidRPr="00A0228C" w:rsidRDefault="008C7BD6" w:rsidP="008C7BD6">
      <w:pPr>
        <w:autoSpaceDE w:val="0"/>
        <w:autoSpaceDN w:val="0"/>
        <w:adjustRightInd w:val="0"/>
        <w:spacing w:line="240" w:lineRule="atLeast"/>
        <w:jc w:val="center"/>
        <w:rPr>
          <w:b/>
          <w:color w:val="000000"/>
          <w:szCs w:val="24"/>
        </w:rPr>
      </w:pPr>
    </w:p>
    <w:p w14:paraId="1016CA3A"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DIRECT TESTIMONY</w:t>
      </w:r>
    </w:p>
    <w:p w14:paraId="5558DBD3"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 xml:space="preserve"> </w:t>
      </w:r>
    </w:p>
    <w:p w14:paraId="4CF615CD"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OF</w:t>
      </w:r>
    </w:p>
    <w:p w14:paraId="17AF45BF" w14:textId="77777777" w:rsidR="008C7BD6" w:rsidRPr="00A0228C" w:rsidRDefault="008C7BD6" w:rsidP="008C7BD6">
      <w:pPr>
        <w:autoSpaceDE w:val="0"/>
        <w:autoSpaceDN w:val="0"/>
        <w:adjustRightInd w:val="0"/>
        <w:spacing w:line="240" w:lineRule="atLeast"/>
        <w:jc w:val="center"/>
        <w:rPr>
          <w:b/>
          <w:color w:val="000000"/>
          <w:szCs w:val="24"/>
        </w:rPr>
      </w:pPr>
    </w:p>
    <w:p w14:paraId="3A1375EC" w14:textId="2B293FB4" w:rsidR="008C7BD6" w:rsidRPr="00A0228C" w:rsidRDefault="00971DAD" w:rsidP="3A622B6A">
      <w:pPr>
        <w:autoSpaceDE w:val="0"/>
        <w:autoSpaceDN w:val="0"/>
        <w:adjustRightInd w:val="0"/>
        <w:spacing w:line="240" w:lineRule="atLeast"/>
        <w:jc w:val="center"/>
        <w:rPr>
          <w:b/>
          <w:bCs/>
          <w:color w:val="000000"/>
        </w:rPr>
      </w:pPr>
      <w:r w:rsidRPr="00996FDC">
        <w:rPr>
          <w:rFonts w:ascii="Times New Roman Bold" w:hAnsi="Times New Roman Bold"/>
          <w:b/>
          <w:bCs/>
          <w:caps/>
          <w:color w:val="000000" w:themeColor="text1"/>
        </w:rPr>
        <w:t xml:space="preserve"> Brad Tutunjian</w:t>
      </w:r>
    </w:p>
    <w:p w14:paraId="179FA7CB" w14:textId="77777777" w:rsidR="008C7BD6" w:rsidRPr="00A0228C" w:rsidRDefault="008C7BD6" w:rsidP="008C7BD6">
      <w:pPr>
        <w:autoSpaceDE w:val="0"/>
        <w:autoSpaceDN w:val="0"/>
        <w:adjustRightInd w:val="0"/>
        <w:spacing w:line="240" w:lineRule="atLeast"/>
        <w:jc w:val="center"/>
        <w:rPr>
          <w:b/>
          <w:color w:val="000000"/>
          <w:szCs w:val="24"/>
        </w:rPr>
      </w:pPr>
    </w:p>
    <w:p w14:paraId="62F4CE0B"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ON BEHALF OF</w:t>
      </w:r>
    </w:p>
    <w:p w14:paraId="649157C8" w14:textId="77777777" w:rsidR="008C7BD6" w:rsidRPr="00A0228C" w:rsidRDefault="008C7BD6" w:rsidP="008C7BD6">
      <w:pPr>
        <w:autoSpaceDE w:val="0"/>
        <w:autoSpaceDN w:val="0"/>
        <w:adjustRightInd w:val="0"/>
        <w:spacing w:line="240" w:lineRule="atLeast"/>
        <w:jc w:val="center"/>
        <w:rPr>
          <w:b/>
          <w:color w:val="000000"/>
          <w:szCs w:val="24"/>
        </w:rPr>
      </w:pPr>
    </w:p>
    <w:p w14:paraId="0420B10F" w14:textId="77777777" w:rsidR="008C7BD6" w:rsidRPr="00A0228C" w:rsidRDefault="008C7BD6" w:rsidP="008C7BD6">
      <w:pPr>
        <w:autoSpaceDE w:val="0"/>
        <w:autoSpaceDN w:val="0"/>
        <w:adjustRightInd w:val="0"/>
        <w:spacing w:line="240" w:lineRule="atLeast"/>
        <w:jc w:val="center"/>
        <w:rPr>
          <w:b/>
          <w:color w:val="000000"/>
          <w:szCs w:val="24"/>
        </w:rPr>
      </w:pPr>
      <w:r w:rsidRPr="00A0228C">
        <w:rPr>
          <w:b/>
          <w:color w:val="000000"/>
          <w:szCs w:val="24"/>
        </w:rPr>
        <w:t>CENTERPOINT ENERGY HOUSTON ELECTRIC, LLC</w:t>
      </w:r>
    </w:p>
    <w:p w14:paraId="75353E0D" w14:textId="77777777" w:rsidR="008C7BD6" w:rsidRPr="00EB2BC1" w:rsidRDefault="008C7BD6" w:rsidP="008C7BD6">
      <w:pPr>
        <w:autoSpaceDE w:val="0"/>
        <w:autoSpaceDN w:val="0"/>
        <w:adjustRightInd w:val="0"/>
        <w:spacing w:line="240" w:lineRule="atLeast"/>
        <w:jc w:val="center"/>
        <w:rPr>
          <w:color w:val="000000"/>
          <w:szCs w:val="24"/>
        </w:rPr>
      </w:pPr>
    </w:p>
    <w:p w14:paraId="169A5C01" w14:textId="77777777" w:rsidR="008C7BD6" w:rsidRPr="00EB2BC1" w:rsidRDefault="008C7BD6" w:rsidP="008C7BD6">
      <w:pPr>
        <w:autoSpaceDE w:val="0"/>
        <w:autoSpaceDN w:val="0"/>
        <w:adjustRightInd w:val="0"/>
        <w:spacing w:line="240" w:lineRule="atLeast"/>
        <w:jc w:val="center"/>
        <w:rPr>
          <w:color w:val="000000"/>
          <w:szCs w:val="24"/>
        </w:rPr>
      </w:pPr>
    </w:p>
    <w:p w14:paraId="02EF7327" w14:textId="77777777" w:rsidR="008C7BD6" w:rsidRPr="00EB2BC1" w:rsidRDefault="008C7BD6" w:rsidP="00996FDC">
      <w:pPr>
        <w:rPr>
          <w:szCs w:val="24"/>
        </w:rPr>
      </w:pPr>
    </w:p>
    <w:p w14:paraId="146132CE" w14:textId="4CAEB1D2" w:rsidR="00C17FF6" w:rsidRDefault="00C17FF6" w:rsidP="00E93C94">
      <w:pPr>
        <w:jc w:val="center"/>
        <w:rPr>
          <w:b/>
          <w:szCs w:val="24"/>
        </w:rPr>
      </w:pPr>
    </w:p>
    <w:p w14:paraId="6F3423E6" w14:textId="77777777" w:rsidR="00923090" w:rsidRDefault="00923090" w:rsidP="00E93C94">
      <w:pPr>
        <w:jc w:val="center"/>
        <w:rPr>
          <w:b/>
          <w:szCs w:val="24"/>
        </w:rPr>
      </w:pPr>
    </w:p>
    <w:p w14:paraId="4B437C0F" w14:textId="77777777" w:rsidR="007B5205" w:rsidRDefault="007B5205" w:rsidP="00E93C94">
      <w:pPr>
        <w:jc w:val="center"/>
        <w:rPr>
          <w:b/>
          <w:szCs w:val="24"/>
        </w:rPr>
      </w:pPr>
    </w:p>
    <w:p w14:paraId="7E456BE7" w14:textId="77777777" w:rsidR="007B5205" w:rsidRDefault="007B5205" w:rsidP="00E93C94">
      <w:pPr>
        <w:jc w:val="center"/>
        <w:rPr>
          <w:b/>
          <w:szCs w:val="24"/>
        </w:rPr>
      </w:pPr>
    </w:p>
    <w:p w14:paraId="47435525" w14:textId="77777777" w:rsidR="007B5205" w:rsidRDefault="007B5205" w:rsidP="00E93C94">
      <w:pPr>
        <w:jc w:val="center"/>
        <w:rPr>
          <w:b/>
          <w:szCs w:val="24"/>
        </w:rPr>
      </w:pPr>
    </w:p>
    <w:p w14:paraId="413AA021" w14:textId="77777777" w:rsidR="007B5205" w:rsidRDefault="007B5205" w:rsidP="00E93C94">
      <w:pPr>
        <w:jc w:val="center"/>
        <w:rPr>
          <w:b/>
          <w:szCs w:val="24"/>
        </w:rPr>
      </w:pPr>
    </w:p>
    <w:p w14:paraId="738B3A15" w14:textId="77777777" w:rsidR="007B5205" w:rsidRDefault="007B5205" w:rsidP="00E93C94">
      <w:pPr>
        <w:jc w:val="center"/>
        <w:rPr>
          <w:b/>
          <w:szCs w:val="24"/>
        </w:rPr>
      </w:pPr>
    </w:p>
    <w:p w14:paraId="1B99DB77" w14:textId="77777777" w:rsidR="007B5205" w:rsidRDefault="007B5205" w:rsidP="00E93C94">
      <w:pPr>
        <w:jc w:val="center"/>
        <w:rPr>
          <w:b/>
          <w:szCs w:val="24"/>
        </w:rPr>
      </w:pPr>
    </w:p>
    <w:p w14:paraId="24643282" w14:textId="77777777" w:rsidR="007B5205" w:rsidRDefault="007B5205" w:rsidP="00E93C94">
      <w:pPr>
        <w:jc w:val="center"/>
        <w:rPr>
          <w:b/>
          <w:szCs w:val="24"/>
        </w:rPr>
      </w:pPr>
    </w:p>
    <w:p w14:paraId="167B407B" w14:textId="77777777" w:rsidR="007B5205" w:rsidRDefault="007B5205" w:rsidP="00E93C94">
      <w:pPr>
        <w:jc w:val="center"/>
        <w:rPr>
          <w:b/>
          <w:szCs w:val="24"/>
        </w:rPr>
      </w:pPr>
    </w:p>
    <w:p w14:paraId="719E370B" w14:textId="77777777" w:rsidR="007B5205" w:rsidRDefault="007B5205" w:rsidP="00E93C94">
      <w:pPr>
        <w:jc w:val="center"/>
        <w:rPr>
          <w:b/>
          <w:szCs w:val="24"/>
        </w:rPr>
      </w:pPr>
    </w:p>
    <w:p w14:paraId="68447F88" w14:textId="77777777" w:rsidR="007B5205" w:rsidRDefault="007B5205" w:rsidP="00E93C94">
      <w:pPr>
        <w:jc w:val="center"/>
        <w:rPr>
          <w:b/>
          <w:szCs w:val="24"/>
        </w:rPr>
      </w:pPr>
    </w:p>
    <w:p w14:paraId="115F055E" w14:textId="77777777" w:rsidR="007B5205" w:rsidRDefault="007B5205" w:rsidP="00E93C94">
      <w:pPr>
        <w:jc w:val="center"/>
        <w:rPr>
          <w:b/>
          <w:szCs w:val="24"/>
        </w:rPr>
      </w:pPr>
    </w:p>
    <w:p w14:paraId="5E9B5DFF" w14:textId="77777777" w:rsidR="007B5205" w:rsidRDefault="007B5205" w:rsidP="00E93C94">
      <w:pPr>
        <w:jc w:val="center"/>
        <w:rPr>
          <w:b/>
          <w:szCs w:val="24"/>
        </w:rPr>
      </w:pPr>
    </w:p>
    <w:p w14:paraId="666E9990" w14:textId="77777777" w:rsidR="00923090" w:rsidRDefault="00923090" w:rsidP="00E93C94">
      <w:pPr>
        <w:jc w:val="center"/>
        <w:rPr>
          <w:b/>
          <w:szCs w:val="24"/>
        </w:rPr>
      </w:pPr>
    </w:p>
    <w:p w14:paraId="6399BEC3" w14:textId="77777777" w:rsidR="00923090" w:rsidRDefault="00923090" w:rsidP="00E93C94">
      <w:pPr>
        <w:jc w:val="center"/>
        <w:rPr>
          <w:b/>
          <w:szCs w:val="24"/>
        </w:rPr>
      </w:pPr>
    </w:p>
    <w:p w14:paraId="6C533DD8" w14:textId="47816731" w:rsidR="00C17FF6" w:rsidRDefault="007B5205" w:rsidP="3A622B6A">
      <w:pPr>
        <w:spacing w:line="259" w:lineRule="auto"/>
        <w:jc w:val="center"/>
        <w:rPr>
          <w:b/>
          <w:bCs/>
        </w:rPr>
      </w:pPr>
      <w:r w:rsidRPr="007B5205">
        <w:rPr>
          <w:b/>
          <w:bCs/>
        </w:rPr>
        <w:t xml:space="preserve">MARCH 2024 </w:t>
      </w:r>
      <w:r w:rsidR="3B190095" w:rsidRPr="618D699F">
        <w:rPr>
          <w:b/>
          <w:bCs/>
        </w:rPr>
        <w:br w:type="page"/>
      </w:r>
    </w:p>
    <w:p w14:paraId="3D9677C0" w14:textId="77777777" w:rsidR="008C7BD6" w:rsidRDefault="008C7BD6" w:rsidP="00AC513F">
      <w:pPr>
        <w:spacing w:after="240"/>
        <w:jc w:val="center"/>
        <w:rPr>
          <w:b/>
          <w:szCs w:val="24"/>
          <w:u w:val="single"/>
        </w:rPr>
      </w:pPr>
      <w:bookmarkStart w:id="0" w:name="_Toc192387686"/>
      <w:bookmarkStart w:id="1" w:name="_Toc192393150"/>
      <w:bookmarkStart w:id="2" w:name="_Toc192393611"/>
      <w:r w:rsidRPr="00EB2BC1">
        <w:rPr>
          <w:b/>
          <w:szCs w:val="24"/>
          <w:u w:val="single"/>
        </w:rPr>
        <w:lastRenderedPageBreak/>
        <w:t>TABLE OF CONTENTS</w:t>
      </w:r>
      <w:bookmarkEnd w:id="0"/>
      <w:bookmarkEnd w:id="1"/>
      <w:bookmarkEnd w:id="2"/>
    </w:p>
    <w:p w14:paraId="26B49F5F" w14:textId="77777777" w:rsidR="007B5205" w:rsidRPr="00EB2BC1" w:rsidRDefault="007B5205" w:rsidP="00AC513F">
      <w:pPr>
        <w:spacing w:after="240"/>
        <w:jc w:val="center"/>
        <w:rPr>
          <w:b/>
          <w:i/>
          <w:szCs w:val="24"/>
          <w:u w:val="single"/>
        </w:rPr>
      </w:pPr>
    </w:p>
    <w:p w14:paraId="2893FC4B" w14:textId="5CFAE9EA" w:rsidR="007B5205" w:rsidRDefault="0003333F">
      <w:pPr>
        <w:pStyle w:val="TOC1"/>
        <w:rPr>
          <w:rFonts w:asciiTheme="minorHAnsi" w:hAnsiTheme="minorHAnsi"/>
          <w:kern w:val="2"/>
          <w:sz w:val="22"/>
          <w14:ligatures w14:val="standardContextual"/>
        </w:rPr>
      </w:pPr>
      <w:r>
        <w:rPr>
          <w:b/>
          <w:bCs/>
        </w:rPr>
        <w:fldChar w:fldCharType="begin"/>
      </w:r>
      <w:r w:rsidRPr="3A622B6A">
        <w:rPr>
          <w:b/>
          <w:bCs/>
        </w:rPr>
        <w:instrText xml:space="preserve"> TOC \o "1-1" \t "Heading 6,1,CR Outline2,2,CR Outline3,3" </w:instrText>
      </w:r>
      <w:r>
        <w:rPr>
          <w:b/>
          <w:bCs/>
        </w:rPr>
        <w:fldChar w:fldCharType="separate"/>
      </w:r>
      <w:r w:rsidR="007B5205" w:rsidRPr="00945813">
        <w:t>I.</w:t>
      </w:r>
      <w:r w:rsidR="007B5205">
        <w:rPr>
          <w:rFonts w:asciiTheme="minorHAnsi" w:hAnsiTheme="minorHAnsi"/>
          <w:kern w:val="2"/>
          <w:sz w:val="22"/>
          <w14:ligatures w14:val="standardContextual"/>
        </w:rPr>
        <w:tab/>
      </w:r>
      <w:r w:rsidR="007B5205">
        <w:t>INTRODUCTION</w:t>
      </w:r>
      <w:r w:rsidR="007B5205">
        <w:tab/>
      </w:r>
      <w:r w:rsidR="007B5205">
        <w:fldChar w:fldCharType="begin"/>
      </w:r>
      <w:r w:rsidR="007B5205">
        <w:instrText xml:space="preserve"> PAGEREF _Toc159404762 \h </w:instrText>
      </w:r>
      <w:r w:rsidR="007B5205">
        <w:fldChar w:fldCharType="separate"/>
      </w:r>
      <w:r w:rsidR="007B5205">
        <w:t>1</w:t>
      </w:r>
      <w:r w:rsidR="007B5205">
        <w:fldChar w:fldCharType="end"/>
      </w:r>
    </w:p>
    <w:p w14:paraId="5042839D" w14:textId="1E68037F" w:rsidR="007B5205" w:rsidRDefault="007B5205">
      <w:pPr>
        <w:pStyle w:val="TOC1"/>
        <w:rPr>
          <w:rFonts w:asciiTheme="minorHAnsi" w:hAnsiTheme="minorHAnsi"/>
          <w:kern w:val="2"/>
          <w:sz w:val="22"/>
          <w14:ligatures w14:val="standardContextual"/>
        </w:rPr>
      </w:pPr>
      <w:r w:rsidRPr="00945813">
        <w:t>II.</w:t>
      </w:r>
      <w:r>
        <w:rPr>
          <w:rFonts w:asciiTheme="minorHAnsi" w:hAnsiTheme="minorHAnsi"/>
          <w:kern w:val="2"/>
          <w:sz w:val="22"/>
          <w14:ligatures w14:val="standardContextual"/>
        </w:rPr>
        <w:tab/>
      </w:r>
      <w:r>
        <w:t>REGULATORY AFFAIRS DEPARTMENT</w:t>
      </w:r>
      <w:r>
        <w:tab/>
      </w:r>
      <w:r>
        <w:fldChar w:fldCharType="begin"/>
      </w:r>
      <w:r>
        <w:instrText xml:space="preserve"> PAGEREF _Toc159404763 \h </w:instrText>
      </w:r>
      <w:r>
        <w:fldChar w:fldCharType="separate"/>
      </w:r>
      <w:r>
        <w:t>3</w:t>
      </w:r>
      <w:r>
        <w:fldChar w:fldCharType="end"/>
      </w:r>
    </w:p>
    <w:p w14:paraId="22C00AFC" w14:textId="37FC7F48" w:rsidR="007B5205" w:rsidRDefault="007B5205">
      <w:pPr>
        <w:pStyle w:val="TOC1"/>
        <w:rPr>
          <w:rFonts w:asciiTheme="minorHAnsi" w:hAnsiTheme="minorHAnsi"/>
          <w:kern w:val="2"/>
          <w:sz w:val="22"/>
          <w14:ligatures w14:val="standardContextual"/>
        </w:rPr>
      </w:pPr>
      <w:r w:rsidRPr="00945813">
        <w:t>III.</w:t>
      </w:r>
      <w:r>
        <w:rPr>
          <w:rFonts w:asciiTheme="minorHAnsi" w:hAnsiTheme="minorHAnsi"/>
          <w:kern w:val="2"/>
          <w:sz w:val="22"/>
          <w14:ligatures w14:val="standardContextual"/>
        </w:rPr>
        <w:tab/>
      </w:r>
      <w:r>
        <w:t>MUNICIPAL FRANCHISE FEES</w:t>
      </w:r>
      <w:r>
        <w:tab/>
      </w:r>
      <w:r>
        <w:fldChar w:fldCharType="begin"/>
      </w:r>
      <w:r>
        <w:instrText xml:space="preserve"> PAGEREF _Toc159404764 \h </w:instrText>
      </w:r>
      <w:r>
        <w:fldChar w:fldCharType="separate"/>
      </w:r>
      <w:r>
        <w:t>12</w:t>
      </w:r>
      <w:r>
        <w:fldChar w:fldCharType="end"/>
      </w:r>
    </w:p>
    <w:p w14:paraId="4679E2EF" w14:textId="3C721D12" w:rsidR="008C4DC3" w:rsidRDefault="0003333F" w:rsidP="008C4DC3">
      <w:pPr>
        <w:spacing w:before="240"/>
        <w:rPr>
          <w:rFonts w:eastAsiaTheme="minorEastAsia" w:cstheme="minorBidi"/>
          <w:b/>
          <w:noProof/>
          <w:szCs w:val="24"/>
        </w:rPr>
      </w:pPr>
      <w:r>
        <w:rPr>
          <w:rFonts w:eastAsiaTheme="minorEastAsia" w:cstheme="minorBidi"/>
          <w:b/>
          <w:noProof/>
          <w:szCs w:val="24"/>
        </w:rPr>
        <w:fldChar w:fldCharType="end"/>
      </w:r>
    </w:p>
    <w:p w14:paraId="02D3348E" w14:textId="71E94529" w:rsidR="00AC513F" w:rsidRDefault="007B5205" w:rsidP="00AC513F">
      <w:pPr>
        <w:jc w:val="center"/>
        <w:rPr>
          <w:b/>
          <w:snapToGrid w:val="0"/>
          <w:szCs w:val="24"/>
        </w:rPr>
      </w:pPr>
      <w:r w:rsidRPr="007B5205">
        <w:rPr>
          <w:b/>
          <w:snapToGrid w:val="0"/>
          <w:szCs w:val="24"/>
        </w:rPr>
        <w:t>LIST OF EXHIBITS</w:t>
      </w:r>
    </w:p>
    <w:p w14:paraId="698766D4" w14:textId="77777777" w:rsidR="007B5205" w:rsidRPr="00DA5C82" w:rsidRDefault="007B5205" w:rsidP="00AC513F">
      <w:pPr>
        <w:jc w:val="center"/>
        <w:rPr>
          <w:b/>
          <w:snapToGrid w:val="0"/>
          <w:szCs w:val="24"/>
          <w:u w:val="single"/>
        </w:rPr>
      </w:pPr>
    </w:p>
    <w:tbl>
      <w:tblPr>
        <w:tblStyle w:val="TableGrid"/>
        <w:tblW w:w="88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5760"/>
      </w:tblGrid>
      <w:tr w:rsidR="0019537F" w14:paraId="11C05E85" w14:textId="77777777" w:rsidTr="00AF4B52">
        <w:tc>
          <w:tcPr>
            <w:tcW w:w="3060" w:type="dxa"/>
          </w:tcPr>
          <w:p w14:paraId="710C9759" w14:textId="056A960B" w:rsidR="00BA04DA" w:rsidRPr="00F6435E" w:rsidRDefault="59419C4E" w:rsidP="3B336FFB">
            <w:r>
              <w:t>Exhibit B</w:t>
            </w:r>
            <w:r w:rsidR="7DA22650">
              <w:t>A</w:t>
            </w:r>
            <w:r>
              <w:t>T-1</w:t>
            </w:r>
          </w:p>
        </w:tc>
        <w:tc>
          <w:tcPr>
            <w:tcW w:w="5760" w:type="dxa"/>
          </w:tcPr>
          <w:p w14:paraId="0B1723AD" w14:textId="6E0F8190" w:rsidR="00BA04DA" w:rsidRPr="00F6435E" w:rsidRDefault="00DC3675" w:rsidP="00EB2BC1">
            <w:pPr>
              <w:rPr>
                <w:szCs w:val="24"/>
              </w:rPr>
            </w:pPr>
            <w:r>
              <w:t>List of ci</w:t>
            </w:r>
            <w:r w:rsidRPr="00996FDC">
              <w:t xml:space="preserve">ties and date of passage for the </w:t>
            </w:r>
            <w:r>
              <w:t>R</w:t>
            </w:r>
            <w:r w:rsidRPr="00996FDC">
              <w:t xml:space="preserve">enewal </w:t>
            </w:r>
            <w:r>
              <w:t>F</w:t>
            </w:r>
            <w:r w:rsidRPr="00996FDC">
              <w:t xml:space="preserve">ranchise </w:t>
            </w:r>
            <w:r>
              <w:t>O</w:t>
            </w:r>
            <w:r w:rsidRPr="00996FDC">
              <w:t>rdinances</w:t>
            </w:r>
          </w:p>
        </w:tc>
      </w:tr>
      <w:tr w:rsidR="0019537F" w14:paraId="2C6AD569" w14:textId="77777777" w:rsidTr="00AF4B52">
        <w:tc>
          <w:tcPr>
            <w:tcW w:w="3060" w:type="dxa"/>
          </w:tcPr>
          <w:p w14:paraId="6D5EBCE9" w14:textId="4B986EF1" w:rsidR="00EB2BC1" w:rsidRDefault="00EB2BC1" w:rsidP="00EB2BC1">
            <w:pPr>
              <w:rPr>
                <w:szCs w:val="24"/>
              </w:rPr>
            </w:pPr>
          </w:p>
        </w:tc>
        <w:tc>
          <w:tcPr>
            <w:tcW w:w="5760" w:type="dxa"/>
          </w:tcPr>
          <w:p w14:paraId="66823652" w14:textId="0DC7A036" w:rsidR="00EB2BC1" w:rsidRDefault="00EB2BC1" w:rsidP="00EB2BC1">
            <w:pPr>
              <w:rPr>
                <w:szCs w:val="24"/>
              </w:rPr>
            </w:pPr>
          </w:p>
        </w:tc>
      </w:tr>
    </w:tbl>
    <w:p w14:paraId="2CAA8A82" w14:textId="721D124F" w:rsidR="000B3245" w:rsidRDefault="00102E9C" w:rsidP="000B3245">
      <w:pPr>
        <w:rPr>
          <w:szCs w:val="24"/>
        </w:rPr>
      </w:pPr>
      <w:r>
        <w:rPr>
          <w:szCs w:val="24"/>
        </w:rPr>
        <w:t xml:space="preserve">  </w:t>
      </w:r>
    </w:p>
    <w:p w14:paraId="02BA58DB" w14:textId="56DF834E" w:rsidR="0071370A" w:rsidRPr="006E0FA4" w:rsidRDefault="0071370A" w:rsidP="1A988DF5">
      <w:pPr>
        <w:sectPr w:rsidR="0071370A" w:rsidRPr="006E0FA4" w:rsidSect="00B8576F">
          <w:headerReference w:type="default" r:id="rId8"/>
          <w:type w:val="continuous"/>
          <w:pgSz w:w="12240" w:h="15840" w:code="1"/>
          <w:pgMar w:top="1440" w:right="1440" w:bottom="1440" w:left="2160" w:header="720" w:footer="720" w:gutter="0"/>
          <w:pgNumType w:start="1"/>
          <w:cols w:space="720"/>
          <w:docGrid w:linePitch="360"/>
        </w:sectPr>
      </w:pPr>
    </w:p>
    <w:p w14:paraId="41EF6A01" w14:textId="1AC573B6" w:rsidR="007678A4" w:rsidRPr="007B5205" w:rsidRDefault="002A0177" w:rsidP="007B5205">
      <w:pPr>
        <w:spacing w:line="480" w:lineRule="auto"/>
        <w:jc w:val="center"/>
        <w:rPr>
          <w:b/>
          <w:bCs/>
          <w:caps/>
        </w:rPr>
      </w:pPr>
      <w:bookmarkStart w:id="3" w:name="_Toc192393612"/>
      <w:r w:rsidRPr="007B5205">
        <w:rPr>
          <w:b/>
          <w:bCs/>
        </w:rPr>
        <w:lastRenderedPageBreak/>
        <w:t>EXECUTIVE SUMMARY</w:t>
      </w:r>
      <w:r w:rsidR="00797758" w:rsidRPr="007B5205">
        <w:rPr>
          <w:b/>
          <w:bCs/>
        </w:rPr>
        <w:t xml:space="preserve"> - REGULATORY</w:t>
      </w:r>
      <w:bookmarkStart w:id="4" w:name="_Toc157081743"/>
      <w:r w:rsidRPr="007B5205">
        <w:rPr>
          <w:b/>
          <w:bCs/>
        </w:rPr>
        <w:br/>
      </w:r>
      <w:r w:rsidR="00962C77" w:rsidRPr="007B5205">
        <w:rPr>
          <w:b/>
          <w:bCs/>
          <w:caps/>
        </w:rPr>
        <w:t>(</w:t>
      </w:r>
      <w:r w:rsidR="00971DAD" w:rsidRPr="007B5205">
        <w:rPr>
          <w:b/>
          <w:bCs/>
          <w:caps/>
        </w:rPr>
        <w:t>Brad Tutunjian</w:t>
      </w:r>
      <w:r w:rsidR="00962C77" w:rsidRPr="007B5205">
        <w:rPr>
          <w:b/>
          <w:bCs/>
          <w:caps/>
        </w:rPr>
        <w:t>)</w:t>
      </w:r>
      <w:bookmarkEnd w:id="4"/>
    </w:p>
    <w:p w14:paraId="71AF9991" w14:textId="44429186" w:rsidR="007678A4" w:rsidRPr="008F5F33" w:rsidRDefault="006905F6" w:rsidP="3A622B6A">
      <w:pPr>
        <w:pStyle w:val="ListParagraph"/>
        <w:spacing w:line="480" w:lineRule="auto"/>
        <w:ind w:left="0" w:firstLine="720"/>
        <w:jc w:val="both"/>
        <w:rPr>
          <w:rFonts w:ascii="Times New Roman" w:hAnsi="Times New Roman"/>
          <w:b/>
          <w:bCs/>
          <w:sz w:val="24"/>
          <w:szCs w:val="24"/>
        </w:rPr>
      </w:pPr>
      <w:r w:rsidRPr="1CCF50D0">
        <w:rPr>
          <w:rFonts w:ascii="Times New Roman" w:hAnsi="Times New Roman"/>
          <w:sz w:val="24"/>
          <w:szCs w:val="24"/>
        </w:rPr>
        <w:t xml:space="preserve">The </w:t>
      </w:r>
      <w:r w:rsidR="00102E9C" w:rsidRPr="1CCF50D0">
        <w:rPr>
          <w:rFonts w:ascii="Times New Roman" w:hAnsi="Times New Roman"/>
          <w:sz w:val="24"/>
          <w:szCs w:val="24"/>
        </w:rPr>
        <w:t xml:space="preserve">affiliate </w:t>
      </w:r>
      <w:r w:rsidRPr="1CCF50D0">
        <w:rPr>
          <w:rFonts w:ascii="Times New Roman" w:hAnsi="Times New Roman"/>
          <w:sz w:val="24"/>
          <w:szCs w:val="24"/>
        </w:rPr>
        <w:t>services that the</w:t>
      </w:r>
      <w:r w:rsidR="00CB43A6" w:rsidRPr="1CCF50D0">
        <w:rPr>
          <w:rFonts w:ascii="Times New Roman" w:hAnsi="Times New Roman"/>
          <w:sz w:val="24"/>
          <w:szCs w:val="24"/>
        </w:rPr>
        <w:t xml:space="preserve"> </w:t>
      </w:r>
      <w:r w:rsidR="0043306B" w:rsidRPr="1CCF50D0">
        <w:rPr>
          <w:rFonts w:ascii="Times New Roman" w:hAnsi="Times New Roman"/>
          <w:sz w:val="24"/>
          <w:szCs w:val="24"/>
        </w:rPr>
        <w:t>Regulatory</w:t>
      </w:r>
      <w:r w:rsidR="007F6C52">
        <w:rPr>
          <w:rFonts w:ascii="Times New Roman" w:hAnsi="Times New Roman"/>
          <w:sz w:val="24"/>
          <w:szCs w:val="24"/>
        </w:rPr>
        <w:t xml:space="preserve"> Services and Government</w:t>
      </w:r>
      <w:r w:rsidR="0043306B" w:rsidRPr="1CCF50D0">
        <w:rPr>
          <w:rFonts w:ascii="Times New Roman" w:hAnsi="Times New Roman"/>
          <w:sz w:val="24"/>
          <w:szCs w:val="24"/>
        </w:rPr>
        <w:t xml:space="preserve"> Affairs</w:t>
      </w:r>
      <w:r w:rsidR="19E09B8F" w:rsidRPr="1CCF50D0">
        <w:rPr>
          <w:rFonts w:ascii="Times New Roman" w:hAnsi="Times New Roman"/>
          <w:sz w:val="24"/>
          <w:szCs w:val="24"/>
        </w:rPr>
        <w:t xml:space="preserve"> </w:t>
      </w:r>
      <w:r w:rsidR="004E0596">
        <w:rPr>
          <w:rFonts w:ascii="Times New Roman" w:hAnsi="Times New Roman"/>
          <w:sz w:val="24"/>
          <w:szCs w:val="24"/>
        </w:rPr>
        <w:t>D</w:t>
      </w:r>
      <w:r w:rsidRPr="1CCF50D0">
        <w:rPr>
          <w:rFonts w:ascii="Times New Roman" w:hAnsi="Times New Roman"/>
          <w:sz w:val="24"/>
          <w:szCs w:val="24"/>
        </w:rPr>
        <w:t>epartment</w:t>
      </w:r>
      <w:r w:rsidR="00102E9C" w:rsidRPr="1CCF50D0">
        <w:rPr>
          <w:rFonts w:ascii="Times New Roman" w:hAnsi="Times New Roman"/>
          <w:sz w:val="24"/>
          <w:szCs w:val="24"/>
        </w:rPr>
        <w:t xml:space="preserve"> </w:t>
      </w:r>
      <w:r w:rsidR="00CB43A6" w:rsidRPr="1CCF50D0">
        <w:rPr>
          <w:rFonts w:ascii="Times New Roman" w:hAnsi="Times New Roman"/>
          <w:sz w:val="24"/>
          <w:szCs w:val="24"/>
        </w:rPr>
        <w:t>provide</w:t>
      </w:r>
      <w:r w:rsidR="004E0596">
        <w:rPr>
          <w:rFonts w:ascii="Times New Roman" w:hAnsi="Times New Roman"/>
          <w:sz w:val="24"/>
          <w:szCs w:val="24"/>
        </w:rPr>
        <w:t>s</w:t>
      </w:r>
      <w:r w:rsidR="00CB43A6" w:rsidRPr="1CCF50D0">
        <w:rPr>
          <w:rFonts w:ascii="Times New Roman" w:hAnsi="Times New Roman"/>
          <w:sz w:val="24"/>
          <w:szCs w:val="24"/>
        </w:rPr>
        <w:t xml:space="preserve"> to CenterPoint Energy Houston Electric, LLC (“CenterPoint Houston” or the “Company”) are critical to </w:t>
      </w:r>
      <w:r w:rsidR="00823765">
        <w:rPr>
          <w:rFonts w:ascii="Times New Roman" w:hAnsi="Times New Roman"/>
          <w:sz w:val="24"/>
          <w:szCs w:val="24"/>
        </w:rPr>
        <w:t>CenterPoint Houston’s</w:t>
      </w:r>
      <w:r w:rsidR="00CB43A6" w:rsidRPr="1CCF50D0">
        <w:rPr>
          <w:rFonts w:ascii="Times New Roman" w:hAnsi="Times New Roman"/>
          <w:sz w:val="24"/>
          <w:szCs w:val="24"/>
        </w:rPr>
        <w:t xml:space="preserve"> provision of safe and reliable electric service</w:t>
      </w:r>
      <w:r w:rsidR="00102E9C" w:rsidRPr="1CCF50D0">
        <w:rPr>
          <w:rFonts w:ascii="Times New Roman" w:hAnsi="Times New Roman"/>
          <w:sz w:val="24"/>
          <w:szCs w:val="24"/>
        </w:rPr>
        <w:t xml:space="preserve"> an</w:t>
      </w:r>
      <w:r w:rsidRPr="1CCF50D0">
        <w:rPr>
          <w:rFonts w:ascii="Times New Roman" w:hAnsi="Times New Roman"/>
          <w:sz w:val="24"/>
          <w:szCs w:val="24"/>
        </w:rPr>
        <w:t xml:space="preserve">d </w:t>
      </w:r>
      <w:r w:rsidR="00F6236E" w:rsidRPr="1CCF50D0">
        <w:rPr>
          <w:rFonts w:ascii="Times New Roman" w:hAnsi="Times New Roman"/>
          <w:sz w:val="24"/>
          <w:szCs w:val="24"/>
        </w:rPr>
        <w:t>compliance with federal and state regulatory requirements</w:t>
      </w:r>
      <w:r w:rsidR="00CB43A6" w:rsidRPr="1CCF50D0">
        <w:rPr>
          <w:rFonts w:ascii="Times New Roman" w:hAnsi="Times New Roman"/>
          <w:sz w:val="24"/>
          <w:szCs w:val="24"/>
        </w:rPr>
        <w:t>.</w:t>
      </w:r>
      <w:r w:rsidR="767CD88A" w:rsidRPr="1CCF50D0">
        <w:rPr>
          <w:rFonts w:ascii="Times New Roman" w:hAnsi="Times New Roman"/>
          <w:sz w:val="24"/>
          <w:szCs w:val="24"/>
        </w:rPr>
        <w:t xml:space="preserve"> </w:t>
      </w:r>
      <w:r w:rsidR="00CB43A6" w:rsidRPr="1CCF50D0">
        <w:rPr>
          <w:rFonts w:ascii="Times New Roman" w:hAnsi="Times New Roman"/>
          <w:sz w:val="24"/>
          <w:szCs w:val="24"/>
        </w:rPr>
        <w:t xml:space="preserve"> </w:t>
      </w:r>
      <w:r w:rsidR="00554988" w:rsidRPr="1CCF50D0">
        <w:rPr>
          <w:rFonts w:ascii="Times New Roman" w:hAnsi="Times New Roman"/>
          <w:sz w:val="24"/>
          <w:szCs w:val="24"/>
        </w:rPr>
        <w:t>In this regard, m</w:t>
      </w:r>
      <w:r w:rsidR="00376762" w:rsidRPr="1CCF50D0">
        <w:rPr>
          <w:rFonts w:ascii="Times New Roman" w:hAnsi="Times New Roman"/>
          <w:sz w:val="24"/>
          <w:szCs w:val="24"/>
        </w:rPr>
        <w:t>y testimony:</w:t>
      </w:r>
    </w:p>
    <w:p w14:paraId="78A34ED3" w14:textId="385FF07D" w:rsidR="007678A4" w:rsidRPr="007012DE" w:rsidRDefault="00F62D75" w:rsidP="000B0FA8">
      <w:pPr>
        <w:pStyle w:val="ListParagraph"/>
        <w:numPr>
          <w:ilvl w:val="0"/>
          <w:numId w:val="3"/>
        </w:numPr>
        <w:spacing w:after="240"/>
        <w:ind w:left="720"/>
        <w:jc w:val="both"/>
        <w:rPr>
          <w:rFonts w:ascii="Times New Roman" w:hAnsi="Times New Roman"/>
          <w:b/>
          <w:bCs/>
          <w:sz w:val="24"/>
          <w:szCs w:val="24"/>
        </w:rPr>
      </w:pPr>
      <w:r w:rsidRPr="1CCF50D0">
        <w:rPr>
          <w:rFonts w:ascii="Times New Roman" w:hAnsi="Times New Roman"/>
          <w:sz w:val="24"/>
          <w:szCs w:val="24"/>
        </w:rPr>
        <w:t>describes the organization</w:t>
      </w:r>
      <w:r w:rsidR="00B43AAF" w:rsidRPr="1CCF50D0">
        <w:rPr>
          <w:rFonts w:ascii="Times New Roman" w:hAnsi="Times New Roman"/>
          <w:sz w:val="24"/>
          <w:szCs w:val="24"/>
        </w:rPr>
        <w:t>, function,</w:t>
      </w:r>
      <w:r w:rsidRPr="1CCF50D0">
        <w:rPr>
          <w:rFonts w:ascii="Times New Roman" w:hAnsi="Times New Roman"/>
          <w:sz w:val="24"/>
          <w:szCs w:val="24"/>
        </w:rPr>
        <w:t xml:space="preserve"> and responsibilities of </w:t>
      </w:r>
      <w:r w:rsidR="00E85711" w:rsidRPr="1CCF50D0">
        <w:rPr>
          <w:rFonts w:ascii="Times New Roman" w:hAnsi="Times New Roman"/>
          <w:sz w:val="24"/>
          <w:szCs w:val="24"/>
        </w:rPr>
        <w:t xml:space="preserve">the </w:t>
      </w:r>
      <w:r w:rsidR="0043306B" w:rsidRPr="1CCF50D0">
        <w:rPr>
          <w:rFonts w:ascii="Times New Roman" w:hAnsi="Times New Roman"/>
          <w:sz w:val="24"/>
          <w:szCs w:val="24"/>
        </w:rPr>
        <w:t>Regulatory</w:t>
      </w:r>
      <w:r w:rsidR="0A499D5E" w:rsidRPr="1CCF50D0">
        <w:rPr>
          <w:rFonts w:ascii="Times New Roman" w:hAnsi="Times New Roman"/>
          <w:sz w:val="24"/>
          <w:szCs w:val="24"/>
        </w:rPr>
        <w:t xml:space="preserve"> </w:t>
      </w:r>
      <w:r w:rsidR="00453679">
        <w:rPr>
          <w:rFonts w:ascii="Times New Roman" w:hAnsi="Times New Roman"/>
          <w:sz w:val="24"/>
          <w:szCs w:val="24"/>
        </w:rPr>
        <w:t xml:space="preserve">Services and Government </w:t>
      </w:r>
      <w:r w:rsidR="0A499D5E" w:rsidRPr="1CCF50D0">
        <w:rPr>
          <w:rFonts w:ascii="Times New Roman" w:hAnsi="Times New Roman"/>
          <w:sz w:val="24"/>
          <w:szCs w:val="24"/>
        </w:rPr>
        <w:t>Affairs</w:t>
      </w:r>
      <w:r w:rsidR="0043306B" w:rsidRPr="1CCF50D0">
        <w:rPr>
          <w:rFonts w:ascii="Times New Roman" w:hAnsi="Times New Roman"/>
          <w:sz w:val="24"/>
          <w:szCs w:val="24"/>
        </w:rPr>
        <w:t xml:space="preserve"> </w:t>
      </w:r>
      <w:proofErr w:type="gramStart"/>
      <w:r w:rsidR="00557E90" w:rsidRPr="1CCF50D0">
        <w:rPr>
          <w:rFonts w:ascii="Times New Roman" w:hAnsi="Times New Roman"/>
          <w:sz w:val="24"/>
          <w:szCs w:val="24"/>
        </w:rPr>
        <w:t>Department</w:t>
      </w:r>
      <w:r w:rsidR="00376762" w:rsidRPr="1CCF50D0">
        <w:rPr>
          <w:rFonts w:ascii="Times New Roman" w:hAnsi="Times New Roman"/>
          <w:sz w:val="24"/>
          <w:szCs w:val="24"/>
        </w:rPr>
        <w:t>;</w:t>
      </w:r>
      <w:proofErr w:type="gramEnd"/>
    </w:p>
    <w:p w14:paraId="4C13FD8B" w14:textId="1BDB28B5" w:rsidR="00554988" w:rsidRPr="007012DE" w:rsidRDefault="00376762" w:rsidP="000B0FA8">
      <w:pPr>
        <w:pStyle w:val="ListParagraph"/>
        <w:numPr>
          <w:ilvl w:val="0"/>
          <w:numId w:val="3"/>
        </w:numPr>
        <w:spacing w:after="240"/>
        <w:ind w:left="720"/>
        <w:jc w:val="both"/>
        <w:rPr>
          <w:rFonts w:ascii="Times New Roman" w:hAnsi="Times New Roman"/>
          <w:b/>
          <w:bCs/>
          <w:sz w:val="24"/>
          <w:szCs w:val="24"/>
        </w:rPr>
      </w:pPr>
      <w:r w:rsidRPr="6C847E14">
        <w:rPr>
          <w:rFonts w:ascii="Times New Roman" w:hAnsi="Times New Roman"/>
          <w:sz w:val="24"/>
          <w:szCs w:val="24"/>
        </w:rPr>
        <w:t xml:space="preserve">describes how </w:t>
      </w:r>
      <w:r w:rsidR="23FF8B88" w:rsidRPr="00996FDC">
        <w:rPr>
          <w:rFonts w:ascii="Times New Roman" w:hAnsi="Times New Roman"/>
          <w:sz w:val="24"/>
          <w:szCs w:val="24"/>
        </w:rPr>
        <w:t xml:space="preserve">the </w:t>
      </w:r>
      <w:r w:rsidR="0043306B" w:rsidRPr="00996FDC">
        <w:rPr>
          <w:rFonts w:ascii="Times New Roman" w:hAnsi="Times New Roman"/>
          <w:sz w:val="24"/>
          <w:szCs w:val="24"/>
        </w:rPr>
        <w:t>R</w:t>
      </w:r>
      <w:r w:rsidR="0043306B" w:rsidRPr="6C847E14">
        <w:rPr>
          <w:rFonts w:ascii="Times New Roman" w:hAnsi="Times New Roman"/>
          <w:sz w:val="24"/>
          <w:szCs w:val="24"/>
        </w:rPr>
        <w:t>egulatory</w:t>
      </w:r>
      <w:r w:rsidR="5E67E502" w:rsidRPr="6C847E14">
        <w:rPr>
          <w:rFonts w:ascii="Times New Roman" w:hAnsi="Times New Roman"/>
          <w:sz w:val="24"/>
          <w:szCs w:val="24"/>
        </w:rPr>
        <w:t xml:space="preserve"> </w:t>
      </w:r>
      <w:r w:rsidR="00453679" w:rsidRPr="6C847E14">
        <w:rPr>
          <w:rFonts w:ascii="Times New Roman" w:hAnsi="Times New Roman"/>
          <w:sz w:val="24"/>
          <w:szCs w:val="24"/>
        </w:rPr>
        <w:t xml:space="preserve">Services and Government </w:t>
      </w:r>
      <w:r w:rsidR="5E67E502" w:rsidRPr="6C847E14">
        <w:rPr>
          <w:rFonts w:ascii="Times New Roman" w:hAnsi="Times New Roman"/>
          <w:sz w:val="24"/>
          <w:szCs w:val="24"/>
        </w:rPr>
        <w:t xml:space="preserve">Affairs Department </w:t>
      </w:r>
      <w:r w:rsidRPr="6C847E14">
        <w:rPr>
          <w:rFonts w:ascii="Times New Roman" w:hAnsi="Times New Roman"/>
          <w:sz w:val="24"/>
          <w:szCs w:val="24"/>
        </w:rPr>
        <w:t xml:space="preserve">costs are controlled and monitored through the budgeting process and other </w:t>
      </w:r>
      <w:proofErr w:type="gramStart"/>
      <w:r w:rsidRPr="6C847E14">
        <w:rPr>
          <w:rFonts w:ascii="Times New Roman" w:hAnsi="Times New Roman"/>
          <w:sz w:val="24"/>
          <w:szCs w:val="24"/>
        </w:rPr>
        <w:t>strategies;</w:t>
      </w:r>
      <w:proofErr w:type="gramEnd"/>
      <w:r w:rsidR="008F5F33" w:rsidRPr="6C847E14">
        <w:rPr>
          <w:rFonts w:ascii="Times New Roman" w:hAnsi="Times New Roman"/>
          <w:sz w:val="24"/>
          <w:szCs w:val="24"/>
        </w:rPr>
        <w:t xml:space="preserve">  </w:t>
      </w:r>
    </w:p>
    <w:p w14:paraId="2C13FE4C" w14:textId="1D02F829" w:rsidR="007678A4" w:rsidRPr="007012DE" w:rsidRDefault="00554988" w:rsidP="000B0FA8">
      <w:pPr>
        <w:pStyle w:val="ListParagraph"/>
        <w:numPr>
          <w:ilvl w:val="0"/>
          <w:numId w:val="3"/>
        </w:numPr>
        <w:spacing w:after="240"/>
        <w:ind w:left="720"/>
        <w:jc w:val="both"/>
        <w:rPr>
          <w:rFonts w:ascii="Times New Roman" w:hAnsi="Times New Roman"/>
          <w:b/>
          <w:bCs/>
          <w:sz w:val="24"/>
          <w:szCs w:val="24"/>
        </w:rPr>
      </w:pPr>
      <w:r w:rsidRPr="1CCF50D0">
        <w:rPr>
          <w:rFonts w:ascii="Times New Roman" w:hAnsi="Times New Roman"/>
          <w:sz w:val="24"/>
          <w:szCs w:val="24"/>
        </w:rPr>
        <w:t xml:space="preserve">addresses how the costs of </w:t>
      </w:r>
      <w:r w:rsidR="0E8A9BB5" w:rsidRPr="1CCF50D0">
        <w:rPr>
          <w:rFonts w:ascii="Times New Roman" w:hAnsi="Times New Roman"/>
          <w:sz w:val="24"/>
          <w:szCs w:val="24"/>
        </w:rPr>
        <w:t xml:space="preserve">the </w:t>
      </w:r>
      <w:r w:rsidR="0043306B" w:rsidRPr="1CCF50D0">
        <w:rPr>
          <w:rFonts w:ascii="Times New Roman" w:hAnsi="Times New Roman"/>
          <w:sz w:val="24"/>
          <w:szCs w:val="24"/>
        </w:rPr>
        <w:t xml:space="preserve">Regulatory </w:t>
      </w:r>
      <w:r w:rsidR="00453679">
        <w:rPr>
          <w:rFonts w:ascii="Times New Roman" w:hAnsi="Times New Roman"/>
          <w:sz w:val="24"/>
          <w:szCs w:val="24"/>
        </w:rPr>
        <w:t xml:space="preserve">Services and Government </w:t>
      </w:r>
      <w:r w:rsidR="01A10F5F" w:rsidRPr="1CCF50D0">
        <w:rPr>
          <w:rFonts w:ascii="Times New Roman" w:hAnsi="Times New Roman"/>
          <w:sz w:val="24"/>
          <w:szCs w:val="24"/>
        </w:rPr>
        <w:t xml:space="preserve">Affairs Department </w:t>
      </w:r>
      <w:r w:rsidRPr="1CCF50D0">
        <w:rPr>
          <w:rFonts w:ascii="Times New Roman" w:hAnsi="Times New Roman"/>
          <w:sz w:val="24"/>
          <w:szCs w:val="24"/>
        </w:rPr>
        <w:t>are assigned;</w:t>
      </w:r>
      <w:r w:rsidR="7AB6E42A" w:rsidRPr="1CCF50D0">
        <w:rPr>
          <w:rFonts w:ascii="Times New Roman" w:hAnsi="Times New Roman"/>
          <w:sz w:val="24"/>
          <w:szCs w:val="24"/>
        </w:rPr>
        <w:t xml:space="preserve"> and</w:t>
      </w:r>
    </w:p>
    <w:p w14:paraId="160F7703" w14:textId="3B3EB8EC" w:rsidR="007678A4" w:rsidRPr="007012DE" w:rsidRDefault="00376762" w:rsidP="000B0FA8">
      <w:pPr>
        <w:pStyle w:val="ListParagraph"/>
        <w:numPr>
          <w:ilvl w:val="0"/>
          <w:numId w:val="3"/>
        </w:numPr>
        <w:spacing w:after="240"/>
        <w:ind w:left="720"/>
        <w:jc w:val="both"/>
        <w:rPr>
          <w:rFonts w:ascii="Times New Roman" w:hAnsi="Times New Roman"/>
          <w:b/>
          <w:bCs/>
          <w:sz w:val="24"/>
          <w:szCs w:val="24"/>
        </w:rPr>
      </w:pPr>
      <w:r w:rsidRPr="1CCF50D0">
        <w:rPr>
          <w:rFonts w:ascii="Times New Roman" w:hAnsi="Times New Roman"/>
          <w:sz w:val="24"/>
          <w:szCs w:val="24"/>
        </w:rPr>
        <w:t>sup</w:t>
      </w:r>
      <w:r w:rsidR="004127D2" w:rsidRPr="1CCF50D0">
        <w:rPr>
          <w:rFonts w:ascii="Times New Roman" w:hAnsi="Times New Roman"/>
          <w:sz w:val="24"/>
          <w:szCs w:val="24"/>
        </w:rPr>
        <w:t>ports the reasonableness of the</w:t>
      </w:r>
      <w:r w:rsidR="000A1D46" w:rsidRPr="1CCF50D0">
        <w:rPr>
          <w:rFonts w:ascii="Times New Roman" w:hAnsi="Times New Roman"/>
          <w:sz w:val="24"/>
          <w:szCs w:val="24"/>
        </w:rPr>
        <w:t xml:space="preserve"> </w:t>
      </w:r>
      <w:r w:rsidR="0043306B" w:rsidRPr="1CCF50D0">
        <w:rPr>
          <w:rFonts w:ascii="Times New Roman" w:hAnsi="Times New Roman"/>
          <w:sz w:val="24"/>
          <w:szCs w:val="24"/>
        </w:rPr>
        <w:t>Regulatory</w:t>
      </w:r>
      <w:r w:rsidR="37BD5AE6" w:rsidRPr="1CCF50D0">
        <w:rPr>
          <w:rFonts w:ascii="Times New Roman" w:hAnsi="Times New Roman"/>
          <w:sz w:val="24"/>
          <w:szCs w:val="24"/>
        </w:rPr>
        <w:t xml:space="preserve"> </w:t>
      </w:r>
      <w:r w:rsidR="00453679">
        <w:rPr>
          <w:rFonts w:ascii="Times New Roman" w:hAnsi="Times New Roman"/>
          <w:sz w:val="24"/>
          <w:szCs w:val="24"/>
        </w:rPr>
        <w:t xml:space="preserve">Services and Government </w:t>
      </w:r>
      <w:r w:rsidR="37BD5AE6" w:rsidRPr="1CCF50D0">
        <w:rPr>
          <w:rFonts w:ascii="Times New Roman" w:hAnsi="Times New Roman"/>
          <w:sz w:val="24"/>
          <w:szCs w:val="24"/>
        </w:rPr>
        <w:t xml:space="preserve">Affairs Department </w:t>
      </w:r>
      <w:r w:rsidRPr="1CCF50D0">
        <w:rPr>
          <w:rFonts w:ascii="Times New Roman" w:hAnsi="Times New Roman"/>
          <w:sz w:val="24"/>
          <w:szCs w:val="24"/>
        </w:rPr>
        <w:t xml:space="preserve">affiliate </w:t>
      </w:r>
      <w:r w:rsidR="004127D2" w:rsidRPr="1CCF50D0">
        <w:rPr>
          <w:rFonts w:ascii="Times New Roman" w:hAnsi="Times New Roman"/>
          <w:sz w:val="24"/>
          <w:szCs w:val="24"/>
        </w:rPr>
        <w:t xml:space="preserve">services </w:t>
      </w:r>
      <w:r w:rsidR="00554988" w:rsidRPr="1CCF50D0">
        <w:rPr>
          <w:rFonts w:ascii="Times New Roman" w:hAnsi="Times New Roman"/>
          <w:sz w:val="24"/>
          <w:szCs w:val="24"/>
        </w:rPr>
        <w:t>incurred by</w:t>
      </w:r>
      <w:r w:rsidRPr="1CCF50D0">
        <w:rPr>
          <w:rFonts w:ascii="Times New Roman" w:hAnsi="Times New Roman"/>
          <w:sz w:val="24"/>
          <w:szCs w:val="24"/>
        </w:rPr>
        <w:t xml:space="preserve"> CenterPoint Houston</w:t>
      </w:r>
      <w:r w:rsidR="00554988" w:rsidRPr="1CCF50D0">
        <w:rPr>
          <w:rFonts w:ascii="Times New Roman" w:hAnsi="Times New Roman"/>
          <w:sz w:val="24"/>
          <w:szCs w:val="24"/>
        </w:rPr>
        <w:t xml:space="preserve"> during the test year</w:t>
      </w:r>
      <w:r w:rsidR="0023095C" w:rsidRPr="1CCF50D0">
        <w:rPr>
          <w:rFonts w:ascii="Times New Roman" w:hAnsi="Times New Roman"/>
          <w:sz w:val="24"/>
          <w:szCs w:val="24"/>
        </w:rPr>
        <w:t>.</w:t>
      </w:r>
    </w:p>
    <w:p w14:paraId="67CEA5D2" w14:textId="5778FAA2" w:rsidR="007716AB" w:rsidRDefault="00376762" w:rsidP="00EF7F91">
      <w:pPr>
        <w:pStyle w:val="ListParagraph"/>
        <w:spacing w:line="480" w:lineRule="auto"/>
        <w:ind w:left="0" w:firstLine="720"/>
        <w:jc w:val="both"/>
        <w:rPr>
          <w:rFonts w:ascii="Times New Roman" w:hAnsi="Times New Roman"/>
          <w:sz w:val="24"/>
          <w:szCs w:val="24"/>
        </w:rPr>
        <w:sectPr w:rsidR="007716AB" w:rsidSect="00C346DC">
          <w:headerReference w:type="default" r:id="rId9"/>
          <w:footerReference w:type="default" r:id="rId10"/>
          <w:pgSz w:w="12240" w:h="15840"/>
          <w:pgMar w:top="1440" w:right="1440" w:bottom="1440" w:left="2160" w:header="720" w:footer="720" w:gutter="0"/>
          <w:lnNumType w:countBy="1"/>
          <w:pgNumType w:start="1"/>
          <w:cols w:space="720"/>
          <w:docGrid w:linePitch="360"/>
        </w:sectPr>
      </w:pPr>
      <w:r w:rsidRPr="50D7D0CE">
        <w:rPr>
          <w:rFonts w:ascii="Times New Roman" w:hAnsi="Times New Roman"/>
          <w:sz w:val="24"/>
          <w:szCs w:val="24"/>
        </w:rPr>
        <w:t>My testimony</w:t>
      </w:r>
      <w:r w:rsidR="00554988" w:rsidRPr="50D7D0CE">
        <w:rPr>
          <w:rFonts w:ascii="Times New Roman" w:hAnsi="Times New Roman"/>
          <w:sz w:val="24"/>
          <w:szCs w:val="24"/>
        </w:rPr>
        <w:t xml:space="preserve"> </w:t>
      </w:r>
      <w:r w:rsidRPr="50D7D0CE">
        <w:rPr>
          <w:rFonts w:ascii="Times New Roman" w:hAnsi="Times New Roman"/>
          <w:sz w:val="24"/>
          <w:szCs w:val="24"/>
        </w:rPr>
        <w:t>demonstrate</w:t>
      </w:r>
      <w:r w:rsidR="00554988" w:rsidRPr="50D7D0CE">
        <w:rPr>
          <w:rFonts w:ascii="Times New Roman" w:hAnsi="Times New Roman"/>
          <w:sz w:val="24"/>
          <w:szCs w:val="24"/>
        </w:rPr>
        <w:t>s</w:t>
      </w:r>
      <w:r w:rsidRPr="50D7D0CE">
        <w:rPr>
          <w:rFonts w:ascii="Times New Roman" w:hAnsi="Times New Roman"/>
          <w:sz w:val="24"/>
          <w:szCs w:val="24"/>
        </w:rPr>
        <w:t xml:space="preserve"> that the affi</w:t>
      </w:r>
      <w:r w:rsidR="00D417EE" w:rsidRPr="50D7D0CE">
        <w:rPr>
          <w:rFonts w:ascii="Times New Roman" w:hAnsi="Times New Roman"/>
          <w:sz w:val="24"/>
          <w:szCs w:val="24"/>
        </w:rPr>
        <w:t xml:space="preserve">liate </w:t>
      </w:r>
      <w:r w:rsidR="00A94725" w:rsidRPr="50D7D0CE">
        <w:rPr>
          <w:rFonts w:ascii="Times New Roman" w:hAnsi="Times New Roman"/>
          <w:sz w:val="24"/>
          <w:szCs w:val="24"/>
        </w:rPr>
        <w:t>costs</w:t>
      </w:r>
      <w:r w:rsidR="00D417EE" w:rsidRPr="50D7D0CE">
        <w:rPr>
          <w:rFonts w:ascii="Times New Roman" w:hAnsi="Times New Roman"/>
          <w:sz w:val="24"/>
          <w:szCs w:val="24"/>
        </w:rPr>
        <w:t xml:space="preserve"> for </w:t>
      </w:r>
      <w:r w:rsidR="4A878463" w:rsidRPr="50D7D0CE">
        <w:rPr>
          <w:rFonts w:ascii="Times New Roman" w:hAnsi="Times New Roman"/>
          <w:sz w:val="24"/>
          <w:szCs w:val="24"/>
        </w:rPr>
        <w:t xml:space="preserve">the </w:t>
      </w:r>
      <w:r w:rsidR="0043306B" w:rsidRPr="50D7D0CE">
        <w:rPr>
          <w:rFonts w:ascii="Times New Roman" w:hAnsi="Times New Roman"/>
          <w:sz w:val="24"/>
          <w:szCs w:val="24"/>
        </w:rPr>
        <w:t>Regulatory</w:t>
      </w:r>
      <w:r w:rsidR="5263B4F7" w:rsidRPr="50D7D0CE">
        <w:rPr>
          <w:rFonts w:ascii="Times New Roman" w:hAnsi="Times New Roman"/>
          <w:sz w:val="24"/>
          <w:szCs w:val="24"/>
        </w:rPr>
        <w:t xml:space="preserve"> </w:t>
      </w:r>
      <w:r w:rsidR="00453679" w:rsidRPr="50D7D0CE">
        <w:rPr>
          <w:rFonts w:ascii="Times New Roman" w:hAnsi="Times New Roman"/>
          <w:sz w:val="24"/>
          <w:szCs w:val="24"/>
        </w:rPr>
        <w:t xml:space="preserve">Services and Government </w:t>
      </w:r>
      <w:r w:rsidR="5263B4F7" w:rsidRPr="50D7D0CE">
        <w:rPr>
          <w:rFonts w:ascii="Times New Roman" w:hAnsi="Times New Roman"/>
          <w:sz w:val="24"/>
          <w:szCs w:val="24"/>
        </w:rPr>
        <w:t>Affairs Department</w:t>
      </w:r>
      <w:r w:rsidR="068C65E0" w:rsidRPr="00996FDC">
        <w:rPr>
          <w:rFonts w:ascii="Times New Roman" w:hAnsi="Times New Roman"/>
          <w:sz w:val="24"/>
          <w:szCs w:val="24"/>
        </w:rPr>
        <w:t>,</w:t>
      </w:r>
      <w:r w:rsidR="0043306B" w:rsidRPr="00996FDC">
        <w:rPr>
          <w:rFonts w:ascii="Times New Roman" w:hAnsi="Times New Roman"/>
          <w:sz w:val="24"/>
          <w:szCs w:val="24"/>
        </w:rPr>
        <w:t xml:space="preserve"> </w:t>
      </w:r>
      <w:r w:rsidR="61974529" w:rsidRPr="00996FDC">
        <w:rPr>
          <w:rFonts w:ascii="Times New Roman" w:hAnsi="Times New Roman"/>
          <w:color w:val="000000" w:themeColor="text1"/>
          <w:sz w:val="24"/>
          <w:szCs w:val="24"/>
        </w:rPr>
        <w:t xml:space="preserve">as set out in the direct testimony of Company witness </w:t>
      </w:r>
      <w:r w:rsidR="61974529" w:rsidRPr="00067E94">
        <w:rPr>
          <w:rFonts w:ascii="Times New Roman" w:hAnsi="Times New Roman"/>
          <w:sz w:val="24"/>
          <w:szCs w:val="24"/>
        </w:rPr>
        <w:t xml:space="preserve">L. </w:t>
      </w:r>
      <w:r w:rsidR="61974529" w:rsidRPr="00996FDC">
        <w:rPr>
          <w:rFonts w:ascii="Times New Roman" w:hAnsi="Times New Roman"/>
          <w:color w:val="000000" w:themeColor="text1"/>
          <w:sz w:val="24"/>
          <w:szCs w:val="24"/>
        </w:rPr>
        <w:t xml:space="preserve">Darren Storey, </w:t>
      </w:r>
      <w:r w:rsidR="00267384" w:rsidRPr="00996FDC">
        <w:rPr>
          <w:rFonts w:ascii="Times New Roman" w:hAnsi="Times New Roman"/>
          <w:sz w:val="24"/>
          <w:szCs w:val="24"/>
        </w:rPr>
        <w:t>a</w:t>
      </w:r>
      <w:r w:rsidRPr="00996FDC">
        <w:rPr>
          <w:rFonts w:ascii="Times New Roman" w:hAnsi="Times New Roman"/>
          <w:sz w:val="24"/>
          <w:szCs w:val="24"/>
        </w:rPr>
        <w:t xml:space="preserve">re reasonable and necessary </w:t>
      </w:r>
      <w:r w:rsidR="2038F8D9" w:rsidRPr="00996FDC">
        <w:rPr>
          <w:rFonts w:ascii="Times New Roman" w:hAnsi="Times New Roman"/>
          <w:sz w:val="24"/>
          <w:szCs w:val="24"/>
        </w:rPr>
        <w:t xml:space="preserve">and </w:t>
      </w:r>
      <w:r w:rsidRPr="00996FDC">
        <w:rPr>
          <w:rFonts w:ascii="Times New Roman" w:hAnsi="Times New Roman"/>
          <w:sz w:val="24"/>
          <w:szCs w:val="24"/>
        </w:rPr>
        <w:t>are not priced higher to CenterPoint Houston than the prices charged for the same services to other affiliates.  Thus, CenterPoint Houston’s costs should be recovered in full th</w:t>
      </w:r>
      <w:r w:rsidRPr="50D7D0CE">
        <w:rPr>
          <w:rFonts w:ascii="Times New Roman" w:hAnsi="Times New Roman"/>
          <w:sz w:val="24"/>
          <w:szCs w:val="24"/>
        </w:rPr>
        <w:t>rough rates</w:t>
      </w:r>
      <w:r w:rsidR="00554988" w:rsidRPr="50D7D0CE">
        <w:rPr>
          <w:rFonts w:ascii="Times New Roman" w:hAnsi="Times New Roman"/>
          <w:sz w:val="24"/>
          <w:szCs w:val="24"/>
        </w:rPr>
        <w:t>.</w:t>
      </w:r>
      <w:r w:rsidRPr="50D7D0CE">
        <w:rPr>
          <w:rFonts w:ascii="Times New Roman" w:hAnsi="Times New Roman"/>
          <w:sz w:val="24"/>
          <w:szCs w:val="24"/>
        </w:rPr>
        <w:t xml:space="preserve"> </w:t>
      </w:r>
    </w:p>
    <w:p w14:paraId="2897C68C" w14:textId="200278D8" w:rsidR="008F5F33" w:rsidRPr="00B8576F" w:rsidRDefault="687EDC2D" w:rsidP="000558DA">
      <w:pPr>
        <w:pStyle w:val="ListParagraph"/>
        <w:spacing w:line="480" w:lineRule="auto"/>
        <w:ind w:left="0" w:firstLine="720"/>
        <w:jc w:val="center"/>
        <w:rPr>
          <w:rFonts w:ascii="Times New Roman" w:hAnsi="Times New Roman"/>
          <w:b/>
          <w:bCs/>
          <w:sz w:val="24"/>
          <w:szCs w:val="24"/>
        </w:rPr>
      </w:pPr>
      <w:r w:rsidRPr="1CCF50D0">
        <w:rPr>
          <w:rFonts w:ascii="Times New Roman" w:hAnsi="Times New Roman"/>
          <w:b/>
          <w:bCs/>
          <w:sz w:val="24"/>
          <w:szCs w:val="24"/>
        </w:rPr>
        <w:lastRenderedPageBreak/>
        <w:t>DIR</w:t>
      </w:r>
      <w:r w:rsidR="008F5F33" w:rsidRPr="1CCF50D0">
        <w:rPr>
          <w:rFonts w:ascii="Times New Roman" w:hAnsi="Times New Roman"/>
          <w:b/>
          <w:bCs/>
          <w:sz w:val="24"/>
          <w:szCs w:val="24"/>
        </w:rPr>
        <w:t xml:space="preserve">ECT TESTIMONY OF </w:t>
      </w:r>
      <w:r w:rsidR="00AD2F8E" w:rsidRPr="1CCF50D0">
        <w:rPr>
          <w:rFonts w:ascii="Times New Roman" w:hAnsi="Times New Roman"/>
          <w:b/>
          <w:bCs/>
          <w:sz w:val="24"/>
          <w:szCs w:val="24"/>
        </w:rPr>
        <w:t>BRAD TUTUNJIAN</w:t>
      </w:r>
      <w:r w:rsidR="007716AB">
        <w:rPr>
          <w:rFonts w:ascii="Times New Roman" w:hAnsi="Times New Roman"/>
          <w:b/>
          <w:bCs/>
          <w:sz w:val="24"/>
          <w:szCs w:val="24"/>
        </w:rPr>
        <w:t xml:space="preserve"> </w:t>
      </w:r>
    </w:p>
    <w:p w14:paraId="5FFB5BE6" w14:textId="30EEAA22" w:rsidR="00AA5E5E" w:rsidRPr="00EC5C3D" w:rsidRDefault="002A0177" w:rsidP="007B5205">
      <w:pPr>
        <w:pStyle w:val="CROutline1"/>
        <w:numPr>
          <w:ilvl w:val="0"/>
          <w:numId w:val="6"/>
        </w:numPr>
      </w:pPr>
      <w:bookmarkStart w:id="5" w:name="_Toc159404762"/>
      <w:r>
        <w:t>INTRODUCTION</w:t>
      </w:r>
      <w:bookmarkEnd w:id="5"/>
    </w:p>
    <w:p w14:paraId="6162DBB8" w14:textId="61C0B354" w:rsidR="002A0177" w:rsidRPr="008F5F33" w:rsidRDefault="00435C20" w:rsidP="00302A7B">
      <w:pPr>
        <w:pStyle w:val="CRQuestion"/>
        <w:rPr>
          <w:b w:val="0"/>
        </w:rPr>
      </w:pPr>
      <w:proofErr w:type="gramStart"/>
      <w:r>
        <w:t>Q.</w:t>
      </w:r>
      <w:proofErr w:type="gramEnd"/>
      <w:r>
        <w:tab/>
      </w:r>
      <w:r w:rsidR="00022F22" w:rsidRPr="008F5F33">
        <w:t>PLEASE STATE YOUR NAME AND CURRENT POSITION.</w:t>
      </w:r>
    </w:p>
    <w:p w14:paraId="5BDB94F0" w14:textId="7001A32D" w:rsidR="00AA5E5E" w:rsidRPr="008F5F33" w:rsidRDefault="00435C20" w:rsidP="00302A7B">
      <w:pPr>
        <w:pStyle w:val="CRAnswer"/>
      </w:pPr>
      <w:r>
        <w:t>A.</w:t>
      </w:r>
      <w:r>
        <w:tab/>
      </w:r>
      <w:r w:rsidR="002A0177">
        <w:t xml:space="preserve">My name is </w:t>
      </w:r>
      <w:r w:rsidR="00AD2F8E">
        <w:t>Brad Tut</w:t>
      </w:r>
      <w:r w:rsidR="1622165B">
        <w:t>un</w:t>
      </w:r>
      <w:r w:rsidR="00AD2F8E">
        <w:t>jian</w:t>
      </w:r>
      <w:r w:rsidR="002A0177">
        <w:t xml:space="preserve">.  I am </w:t>
      </w:r>
      <w:r w:rsidR="00B30FA7">
        <w:t>the</w:t>
      </w:r>
      <w:r w:rsidR="00557E90">
        <w:t xml:space="preserve"> Vice President, </w:t>
      </w:r>
      <w:r w:rsidR="0043306B">
        <w:t xml:space="preserve">Regulatory </w:t>
      </w:r>
      <w:r w:rsidR="00B30FA7">
        <w:t>Policy</w:t>
      </w:r>
      <w:r w:rsidR="00651D38">
        <w:t xml:space="preserve"> for CenterPoint Energy, Inc. (“CNP”).</w:t>
      </w:r>
    </w:p>
    <w:p w14:paraId="11EDA0B8" w14:textId="18BE2BDB" w:rsidR="00022F22" w:rsidRPr="008F5F33" w:rsidRDefault="00435C20" w:rsidP="002A004A">
      <w:pPr>
        <w:pStyle w:val="CRQuestion"/>
      </w:pPr>
      <w:proofErr w:type="gramStart"/>
      <w:r>
        <w:t>Q.</w:t>
      </w:r>
      <w:proofErr w:type="gramEnd"/>
      <w:r>
        <w:tab/>
      </w:r>
      <w:r w:rsidR="00022F22">
        <w:t>PLEASE SUMMARIZE YOUR BACKGROUND AND CURRENT RESPONSIBILITIES.</w:t>
      </w:r>
    </w:p>
    <w:p w14:paraId="1BBD9293" w14:textId="65375BB8" w:rsidR="00AA5E5E" w:rsidRPr="008F5F33" w:rsidRDefault="00435C20" w:rsidP="000558DA">
      <w:pPr>
        <w:spacing w:line="480" w:lineRule="auto"/>
        <w:ind w:left="720" w:hanging="720"/>
        <w:jc w:val="both"/>
      </w:pPr>
      <w:r>
        <w:t>A.</w:t>
      </w:r>
      <w:r>
        <w:tab/>
      </w:r>
      <w:r w:rsidR="004A16D3" w:rsidRPr="00FC4C56">
        <w:rPr>
          <w:rFonts w:eastAsia="Calibri"/>
        </w:rPr>
        <w:t xml:space="preserve">I graduated from Texas Tech University in 1997 with a Bachelor of Science </w:t>
      </w:r>
      <w:r w:rsidR="00B8000B">
        <w:rPr>
          <w:rFonts w:eastAsia="Calibri"/>
        </w:rPr>
        <w:t>d</w:t>
      </w:r>
      <w:r w:rsidR="004A16D3" w:rsidRPr="00FC4C56">
        <w:rPr>
          <w:rFonts w:eastAsia="Calibri"/>
        </w:rPr>
        <w:t xml:space="preserve">egree in Mechanical Engineering. I am a licensed Professional Engineer </w:t>
      </w:r>
      <w:r w:rsidR="00CE3C22">
        <w:rPr>
          <w:rFonts w:eastAsia="Calibri"/>
        </w:rPr>
        <w:t>by</w:t>
      </w:r>
      <w:r w:rsidR="004A16D3" w:rsidRPr="00FC4C56">
        <w:rPr>
          <w:rFonts w:eastAsia="Calibri"/>
        </w:rPr>
        <w:t xml:space="preserve"> the </w:t>
      </w:r>
      <w:r w:rsidR="004A16D3">
        <w:rPr>
          <w:rFonts w:eastAsia="Calibri"/>
        </w:rPr>
        <w:t>S</w:t>
      </w:r>
      <w:r w:rsidR="004A16D3" w:rsidRPr="00FC4C56">
        <w:rPr>
          <w:rFonts w:eastAsia="Calibri"/>
        </w:rPr>
        <w:t>tate of Mississippi. From my 1997 graduation to the present, I have been employed by</w:t>
      </w:r>
      <w:r w:rsidR="00FC61FB" w:rsidRPr="00FC4C56">
        <w:rPr>
          <w:rFonts w:eastAsia="Calibri"/>
        </w:rPr>
        <w:t xml:space="preserve"> </w:t>
      </w:r>
      <w:r w:rsidR="004A16D3" w:rsidRPr="00FC4C56">
        <w:rPr>
          <w:rFonts w:eastAsia="Calibri"/>
        </w:rPr>
        <w:t>CNP or one of its affiliates. My positions with CNP have included Graduate Engineer, Distribution Designer, Distribution Operations Manager, District Manager, Service Area Director, Electric Distribution Operations, Division Vice President – Natural Gas Regional Operations (Mississippi/Louisiana), Division Vice President – Regional Operations (Minnesota), Vice President of Distribution</w:t>
      </w:r>
      <w:r w:rsidR="00FC61FB" w:rsidRPr="00FC4C56">
        <w:rPr>
          <w:rFonts w:eastAsia="Calibri"/>
        </w:rPr>
        <w:t xml:space="preserve"> </w:t>
      </w:r>
      <w:r w:rsidR="004A16D3" w:rsidRPr="00FC4C56">
        <w:rPr>
          <w:rFonts w:eastAsia="Calibri"/>
        </w:rPr>
        <w:t xml:space="preserve">Operations and Service Delivery </w:t>
      </w:r>
      <w:r w:rsidR="001C5C6D">
        <w:rPr>
          <w:rFonts w:eastAsia="Calibri"/>
        </w:rPr>
        <w:t>(Texas</w:t>
      </w:r>
      <w:r w:rsidR="00D91BD7">
        <w:rPr>
          <w:rFonts w:eastAsia="Calibri"/>
        </w:rPr>
        <w:t xml:space="preserve"> Electric</w:t>
      </w:r>
      <w:r w:rsidR="001C5C6D">
        <w:rPr>
          <w:rFonts w:eastAsia="Calibri"/>
        </w:rPr>
        <w:t xml:space="preserve">), </w:t>
      </w:r>
      <w:r w:rsidR="004A16D3" w:rsidRPr="00FC4C56">
        <w:rPr>
          <w:rFonts w:eastAsia="Calibri"/>
        </w:rPr>
        <w:t>and Vice President, Regulatory Policy. I was</w:t>
      </w:r>
      <w:r w:rsidR="00FC61FB" w:rsidRPr="00FC4C56">
        <w:rPr>
          <w:rFonts w:eastAsia="Calibri"/>
        </w:rPr>
        <w:t xml:space="preserve"> </w:t>
      </w:r>
      <w:r w:rsidR="004A16D3" w:rsidRPr="00FC4C56">
        <w:rPr>
          <w:rFonts w:eastAsia="Calibri"/>
        </w:rPr>
        <w:t xml:space="preserve">named to my present position in 2023, at which time I assumed responsibility for supporting regulatory initiatives on behalf of CNP before various regulatory bodies on matters of policy </w:t>
      </w:r>
      <w:r w:rsidR="460F7167" w:rsidRPr="448181DE">
        <w:rPr>
          <w:rFonts w:eastAsia="Calibri"/>
        </w:rPr>
        <w:t>affecting</w:t>
      </w:r>
      <w:r w:rsidR="004A16D3" w:rsidRPr="00FC4C56">
        <w:rPr>
          <w:rFonts w:eastAsia="Calibri"/>
        </w:rPr>
        <w:t xml:space="preserve"> CNP</w:t>
      </w:r>
      <w:r w:rsidR="67D397E5" w:rsidRPr="448181DE">
        <w:rPr>
          <w:rFonts w:eastAsia="Calibri"/>
        </w:rPr>
        <w:t>’s regulated</w:t>
      </w:r>
      <w:r w:rsidR="004A16D3" w:rsidRPr="00D8503C">
        <w:rPr>
          <w:rFonts w:eastAsia="Calibri"/>
        </w:rPr>
        <w:t xml:space="preserve"> business units.</w:t>
      </w:r>
      <w:r w:rsidR="002A0177">
        <w:t xml:space="preserve"> </w:t>
      </w:r>
    </w:p>
    <w:p w14:paraId="053F6751" w14:textId="08BD0A90" w:rsidR="002A0177" w:rsidRPr="008F5F33" w:rsidRDefault="00435C20" w:rsidP="00EF7F91">
      <w:pPr>
        <w:spacing w:line="480" w:lineRule="auto"/>
        <w:ind w:left="720" w:hanging="720"/>
        <w:jc w:val="both"/>
        <w:rPr>
          <w:b/>
          <w:szCs w:val="24"/>
        </w:rPr>
      </w:pPr>
      <w:r>
        <w:rPr>
          <w:b/>
          <w:szCs w:val="24"/>
        </w:rPr>
        <w:t>Q.</w:t>
      </w:r>
      <w:r>
        <w:rPr>
          <w:b/>
          <w:szCs w:val="24"/>
        </w:rPr>
        <w:tab/>
      </w:r>
      <w:r w:rsidR="00022F22" w:rsidRPr="008F5F33">
        <w:rPr>
          <w:b/>
          <w:szCs w:val="24"/>
        </w:rPr>
        <w:t>WHAT IS THE PURPOSE OF YOUR TESTIMONY?</w:t>
      </w:r>
    </w:p>
    <w:p w14:paraId="0A504B78" w14:textId="33610876" w:rsidR="00AA5E5E" w:rsidRPr="007012DE" w:rsidRDefault="00435C20">
      <w:pPr>
        <w:pStyle w:val="CRAnswer"/>
        <w:rPr>
          <w:rFonts w:ascii="TimesNewRomanPSMT" w:eastAsia="Calibri" w:hAnsi="TimesNewRomanPSMT" w:cs="TimesNewRomanPSMT"/>
        </w:rPr>
      </w:pPr>
      <w:r>
        <w:t>A.</w:t>
      </w:r>
      <w:r>
        <w:tab/>
      </w:r>
      <w:r w:rsidR="00AA5E5E">
        <w:t xml:space="preserve">The purpose of my testimony is to describe the organization and </w:t>
      </w:r>
      <w:r w:rsidR="00D34710">
        <w:t xml:space="preserve">affiliate services provided by </w:t>
      </w:r>
      <w:r w:rsidR="00A56DE7">
        <w:t xml:space="preserve">the </w:t>
      </w:r>
      <w:r w:rsidR="00655808">
        <w:t xml:space="preserve">Regulatory </w:t>
      </w:r>
      <w:r w:rsidR="001A13F4">
        <w:t xml:space="preserve">Services and Government </w:t>
      </w:r>
      <w:r w:rsidR="1ADAC6B9">
        <w:t xml:space="preserve">Affairs </w:t>
      </w:r>
      <w:r w:rsidR="00A56DE7">
        <w:t>Department</w:t>
      </w:r>
      <w:r w:rsidR="00102E9C">
        <w:t xml:space="preserve">. </w:t>
      </w:r>
      <w:r w:rsidR="006905F6">
        <w:t xml:space="preserve"> </w:t>
      </w:r>
      <w:r w:rsidR="00AA5E5E">
        <w:t xml:space="preserve">My testimony </w:t>
      </w:r>
      <w:r w:rsidR="00672302">
        <w:t>demonstrates</w:t>
      </w:r>
      <w:r w:rsidR="00AA5E5E">
        <w:t xml:space="preserve"> that </w:t>
      </w:r>
      <w:r w:rsidR="53191586">
        <w:t xml:space="preserve">the </w:t>
      </w:r>
      <w:r w:rsidR="00655808">
        <w:t xml:space="preserve">Regulatory </w:t>
      </w:r>
      <w:r w:rsidR="001A13F4">
        <w:t xml:space="preserve">Services and Government </w:t>
      </w:r>
      <w:r w:rsidR="23666709">
        <w:t xml:space="preserve">Affairs Department </w:t>
      </w:r>
      <w:r w:rsidR="00AA5E5E">
        <w:t>efficiently and effectively provide</w:t>
      </w:r>
      <w:r w:rsidR="75E9A5DF">
        <w:t>s</w:t>
      </w:r>
      <w:r w:rsidR="00AA5E5E">
        <w:t xml:space="preserve"> </w:t>
      </w:r>
      <w:r w:rsidR="00655808">
        <w:t>regulatory</w:t>
      </w:r>
      <w:r w:rsidR="00D91BD7">
        <w:t xml:space="preserve"> </w:t>
      </w:r>
      <w:r w:rsidR="00AA5E5E">
        <w:t xml:space="preserve">services to CenterPoint </w:t>
      </w:r>
      <w:r w:rsidR="00AA5E5E">
        <w:lastRenderedPageBreak/>
        <w:t>Houston</w:t>
      </w:r>
      <w:r w:rsidR="008E1F5D">
        <w:t xml:space="preserve"> and that </w:t>
      </w:r>
      <w:r w:rsidR="00CA6D6E">
        <w:t xml:space="preserve">the Regulatory </w:t>
      </w:r>
      <w:r w:rsidR="001A13F4">
        <w:t xml:space="preserve">Services and Government </w:t>
      </w:r>
      <w:r w:rsidR="00CA6D6E">
        <w:t>Affairs</w:t>
      </w:r>
      <w:r w:rsidR="00A56DE7">
        <w:t xml:space="preserve"> </w:t>
      </w:r>
      <w:r w:rsidR="00CA6D6E">
        <w:t>D</w:t>
      </w:r>
      <w:r w:rsidR="00A56DE7">
        <w:t>epartment</w:t>
      </w:r>
      <w:r w:rsidR="008E1F5D">
        <w:t xml:space="preserve"> maintain</w:t>
      </w:r>
      <w:r w:rsidR="00A56DE7">
        <w:t>s</w:t>
      </w:r>
      <w:r w:rsidR="008E1F5D">
        <w:t xml:space="preserve"> </w:t>
      </w:r>
      <w:r w:rsidR="00AA5E5E">
        <w:t>proper controls to ensure that the costs for each of these services are reasonable and necessary</w:t>
      </w:r>
      <w:r w:rsidR="008E1F5D">
        <w:t>.  My testimony further establishes that</w:t>
      </w:r>
      <w:r w:rsidR="00E85711">
        <w:t xml:space="preserve"> the</w:t>
      </w:r>
      <w:r w:rsidR="326B881F">
        <w:t xml:space="preserve"> </w:t>
      </w:r>
      <w:r w:rsidR="00655808">
        <w:t>Regulatory</w:t>
      </w:r>
      <w:r w:rsidR="65E94800">
        <w:t xml:space="preserve"> </w:t>
      </w:r>
      <w:r w:rsidR="001A13F4">
        <w:t xml:space="preserve">Services and Government </w:t>
      </w:r>
      <w:r w:rsidR="65E94800">
        <w:t>Affairs Department</w:t>
      </w:r>
      <w:r w:rsidR="0F84C6DF">
        <w:t xml:space="preserve"> </w:t>
      </w:r>
      <w:r w:rsidR="00164D94">
        <w:t>affiliate</w:t>
      </w:r>
      <w:r w:rsidR="00E85711">
        <w:t xml:space="preserve"> costs incurred by </w:t>
      </w:r>
      <w:r w:rsidR="002A6F2A">
        <w:t>CenterPoint Houston</w:t>
      </w:r>
      <w:r w:rsidR="008E1F5D">
        <w:t xml:space="preserve"> </w:t>
      </w:r>
      <w:r w:rsidR="00E85711">
        <w:t>during the</w:t>
      </w:r>
      <w:r w:rsidR="00AA5E5E">
        <w:t xml:space="preserve"> test year </w:t>
      </w:r>
      <w:r w:rsidR="008E1F5D">
        <w:t xml:space="preserve">are properly assigned to </w:t>
      </w:r>
      <w:r w:rsidR="002A6F2A">
        <w:t>the Company</w:t>
      </w:r>
      <w:r w:rsidR="008E1F5D">
        <w:t>,</w:t>
      </w:r>
      <w:r w:rsidR="00AA5E5E">
        <w:t xml:space="preserve"> are reasonable and necess</w:t>
      </w:r>
      <w:r w:rsidR="00AA5E5E" w:rsidRPr="00996FDC">
        <w:t>ary</w:t>
      </w:r>
      <w:r w:rsidR="008E1F5D" w:rsidRPr="00996FDC">
        <w:t>,</w:t>
      </w:r>
      <w:r w:rsidR="3FB40A2A" w:rsidRPr="00996FDC">
        <w:t xml:space="preserve"> and, as explained by Company witness Mr. Storey, are not priced higher to CenterPoint Houston than the prices charged for the same services to other affiliates.</w:t>
      </w:r>
    </w:p>
    <w:p w14:paraId="313270A3" w14:textId="261D8A9E" w:rsidR="00B64A69" w:rsidRPr="008F5F33" w:rsidRDefault="00435C20" w:rsidP="1CCF50D0">
      <w:pPr>
        <w:spacing w:line="480" w:lineRule="auto"/>
        <w:ind w:left="720" w:hanging="720"/>
        <w:jc w:val="both"/>
        <w:rPr>
          <w:b/>
          <w:bCs/>
        </w:rPr>
      </w:pPr>
      <w:r w:rsidRPr="1CCF50D0">
        <w:rPr>
          <w:b/>
          <w:bCs/>
        </w:rPr>
        <w:t>Q.</w:t>
      </w:r>
      <w:r>
        <w:tab/>
      </w:r>
      <w:r w:rsidR="00022F22" w:rsidRPr="1CCF50D0">
        <w:rPr>
          <w:b/>
          <w:bCs/>
        </w:rPr>
        <w:t xml:space="preserve">DO YOU SPONSOR ANY </w:t>
      </w:r>
      <w:r w:rsidR="009562A0" w:rsidRPr="1CCF50D0">
        <w:rPr>
          <w:b/>
          <w:bCs/>
        </w:rPr>
        <w:t xml:space="preserve">EXHIBITS OR SCHEDULES INCLUDED IN </w:t>
      </w:r>
      <w:r w:rsidR="00022F22" w:rsidRPr="1CCF50D0">
        <w:rPr>
          <w:b/>
          <w:bCs/>
        </w:rPr>
        <w:t>THE RATE FILING PACKAGE</w:t>
      </w:r>
      <w:r w:rsidR="00022F22" w:rsidRPr="4DAC81F5">
        <w:rPr>
          <w:b/>
          <w:bCs/>
        </w:rPr>
        <w:t>?</w:t>
      </w:r>
    </w:p>
    <w:p w14:paraId="51BBE6D2" w14:textId="670A90A7" w:rsidR="00E41B67" w:rsidRDefault="00435C20" w:rsidP="00E85711">
      <w:pPr>
        <w:spacing w:line="480" w:lineRule="auto"/>
        <w:ind w:left="720" w:hanging="720"/>
        <w:jc w:val="both"/>
      </w:pPr>
      <w:r>
        <w:t>A.</w:t>
      </w:r>
      <w:r>
        <w:tab/>
      </w:r>
      <w:r w:rsidR="009562A0">
        <w:t xml:space="preserve">Yes.  </w:t>
      </w:r>
      <w:r w:rsidR="00A94725">
        <w:t xml:space="preserve">I co-sponsor </w:t>
      </w:r>
      <w:r w:rsidR="00E41B67">
        <w:t>the reasonableness and necessity of various costs inc</w:t>
      </w:r>
      <w:r w:rsidR="00A94725">
        <w:t xml:space="preserve">luded in </w:t>
      </w:r>
      <w:r w:rsidR="00A94725" w:rsidRPr="00996FDC">
        <w:t>S</w:t>
      </w:r>
      <w:r w:rsidR="00E41B67" w:rsidRPr="00996FDC">
        <w:t xml:space="preserve">chedules </w:t>
      </w:r>
      <w:r w:rsidR="563F4E75" w:rsidRPr="00996FDC">
        <w:t>V-K-7</w:t>
      </w:r>
      <w:r w:rsidR="643E9C58" w:rsidRPr="00996FDC">
        <w:t xml:space="preserve"> </w:t>
      </w:r>
      <w:r w:rsidR="00A94725" w:rsidRPr="00996FDC">
        <w:t xml:space="preserve">and </w:t>
      </w:r>
      <w:r w:rsidR="4FDD327E" w:rsidRPr="00996FDC">
        <w:t>V-K-12</w:t>
      </w:r>
      <w:r w:rsidR="00A94725" w:rsidRPr="00996FDC">
        <w:t xml:space="preserve"> </w:t>
      </w:r>
      <w:r w:rsidR="00E41B67" w:rsidRPr="00996FDC">
        <w:t>spo</w:t>
      </w:r>
      <w:r w:rsidR="00E41B67">
        <w:t xml:space="preserve">nsored by </w:t>
      </w:r>
      <w:r w:rsidR="000F6C8E">
        <w:t>Company witness L. Darren Storey</w:t>
      </w:r>
      <w:r w:rsidR="00C7155A">
        <w:t xml:space="preserve">, </w:t>
      </w:r>
      <w:r w:rsidR="00E41B67">
        <w:t xml:space="preserve">insofar as they are related to </w:t>
      </w:r>
      <w:r w:rsidR="008073E0">
        <w:t>the</w:t>
      </w:r>
      <w:r>
        <w:t xml:space="preserve"> </w:t>
      </w:r>
      <w:r w:rsidR="007223CC">
        <w:t>Regulatory</w:t>
      </w:r>
      <w:r w:rsidR="002E31ED">
        <w:t xml:space="preserve"> </w:t>
      </w:r>
      <w:r w:rsidR="3C454E4F">
        <w:t>S</w:t>
      </w:r>
      <w:r w:rsidR="006905F6">
        <w:t>ervices</w:t>
      </w:r>
      <w:r>
        <w:t xml:space="preserve"> </w:t>
      </w:r>
      <w:r w:rsidR="003361CC">
        <w:t xml:space="preserve">and Government Affairs </w:t>
      </w:r>
      <w:r w:rsidR="008073E0">
        <w:t>Depart</w:t>
      </w:r>
      <w:r w:rsidR="008073E0" w:rsidRPr="00996FDC">
        <w:t>ment</w:t>
      </w:r>
      <w:r w:rsidR="007223CC" w:rsidRPr="00996FDC">
        <w:t>.</w:t>
      </w:r>
      <w:r w:rsidR="00B64A69" w:rsidRPr="00996FDC">
        <w:t xml:space="preserve"> </w:t>
      </w:r>
      <w:r w:rsidR="04163BED" w:rsidRPr="00996FDC">
        <w:t xml:space="preserve"> I also sponsor Exhibit BAT-1, </w:t>
      </w:r>
      <w:r w:rsidR="6368AE85" w:rsidRPr="00996FDC">
        <w:t>which includes a list of cities and the date of passage for each of the renewal franchise ordinances</w:t>
      </w:r>
      <w:r w:rsidR="13B764F3" w:rsidRPr="00996FDC">
        <w:t>.</w:t>
      </w:r>
    </w:p>
    <w:p w14:paraId="68E5A5B3" w14:textId="56073FB6" w:rsidR="006905F6" w:rsidRDefault="006905F6" w:rsidP="00302A7B">
      <w:pPr>
        <w:pStyle w:val="CRQuestion"/>
      </w:pPr>
      <w:r>
        <w:t>Q.</w:t>
      </w:r>
      <w:r>
        <w:tab/>
        <w:t>HOW DOES YOUR TESTIMONY RELATE TO THAT OF OTHER WITNESSES IN THIS PROCEEDING?</w:t>
      </w:r>
    </w:p>
    <w:p w14:paraId="366AD2A5" w14:textId="00A7984B" w:rsidR="008F5F33" w:rsidRPr="007012DE" w:rsidRDefault="006905F6" w:rsidP="00996FDC">
      <w:pPr>
        <w:pStyle w:val="CRAnswer"/>
      </w:pPr>
      <w:r>
        <w:t>A.</w:t>
      </w:r>
      <w:r>
        <w:tab/>
        <w:t xml:space="preserve">I serve as CenterPoint Houston’s witness supporting the recovery of reasonable and necessary test year costs for the </w:t>
      </w:r>
      <w:r w:rsidR="00844F8B">
        <w:t>Regulatory</w:t>
      </w:r>
      <w:r w:rsidR="4163AFA6">
        <w:t xml:space="preserve"> </w:t>
      </w:r>
      <w:r w:rsidR="00485F8E">
        <w:t xml:space="preserve">Services and Government </w:t>
      </w:r>
      <w:r w:rsidR="4163AFA6">
        <w:t>Affairs Department</w:t>
      </w:r>
      <w:r>
        <w:t xml:space="preserve">.  These are all affiliate costs that CenterPoint Houston seeks to recover as part of its cost of service. </w:t>
      </w:r>
      <w:r w:rsidR="08C36D92">
        <w:t>Mr. Storey provides direct testimony that supports CenterPoint Houston’s recovery of its affiliate costs, including affiliate billings and methodologies, budgeting, cost controls, and the use of Service Level Agreements</w:t>
      </w:r>
      <w:r w:rsidR="00BE4B16">
        <w:t>.</w:t>
      </w:r>
      <w:r>
        <w:t xml:space="preserve"> </w:t>
      </w:r>
      <w:r>
        <w:lastRenderedPageBreak/>
        <w:t xml:space="preserve">Additionally, I provide testimony in support of the recovery of the test year franchise fee </w:t>
      </w:r>
      <w:r w:rsidR="00D66E2D">
        <w:t xml:space="preserve">expense </w:t>
      </w:r>
      <w:r>
        <w:t>by CenterPoint Houston under its municipal franchise ordinance</w:t>
      </w:r>
      <w:r w:rsidR="00A746C5">
        <w:t xml:space="preserve">s </w:t>
      </w:r>
      <w:r w:rsidR="009052AC">
        <w:t xml:space="preserve">adjusted for known and measurable changes.  </w:t>
      </w:r>
    </w:p>
    <w:p w14:paraId="6C315C50" w14:textId="2A8FF187" w:rsidR="57A1EC89" w:rsidRDefault="57A1EC89" w:rsidP="007B5205">
      <w:pPr>
        <w:pStyle w:val="CROutline1"/>
        <w:numPr>
          <w:ilvl w:val="0"/>
          <w:numId w:val="6"/>
        </w:numPr>
        <w:spacing w:line="259" w:lineRule="auto"/>
      </w:pPr>
      <w:bookmarkStart w:id="6" w:name="_Toc159404763"/>
      <w:r>
        <w:t>REGULATORY AFFAIRS DEPARTMENT</w:t>
      </w:r>
      <w:bookmarkEnd w:id="6"/>
    </w:p>
    <w:p w14:paraId="7F5360FE" w14:textId="0490D6E3" w:rsidR="00FB4DA5" w:rsidRPr="00302A7B" w:rsidRDefault="00FB4DA5" w:rsidP="00302A7B">
      <w:pPr>
        <w:pStyle w:val="CRQuestion"/>
      </w:pPr>
      <w:r>
        <w:t>Q.</w:t>
      </w:r>
      <w:r>
        <w:tab/>
        <w:t xml:space="preserve">WHERE DOES </w:t>
      </w:r>
      <w:r w:rsidR="1AD3BDFD">
        <w:t xml:space="preserve">THE </w:t>
      </w:r>
      <w:r w:rsidR="00844F8B">
        <w:t>REGULATORY</w:t>
      </w:r>
      <w:r w:rsidR="79D0FD4B">
        <w:t xml:space="preserve"> </w:t>
      </w:r>
      <w:r w:rsidR="0C7C22B8">
        <w:t xml:space="preserve">SERVICES AND GOVERNMENT </w:t>
      </w:r>
      <w:r w:rsidR="79D0FD4B">
        <w:t>AFFAIRS DEPARTMENT</w:t>
      </w:r>
      <w:r w:rsidR="00844F8B">
        <w:t xml:space="preserve"> </w:t>
      </w:r>
      <w:r>
        <w:t>FALL WITHIN THE SERVICE COMPANY ORGANIZATION?</w:t>
      </w:r>
    </w:p>
    <w:p w14:paraId="68CDDCE9" w14:textId="0027E9A4" w:rsidR="00C301AF" w:rsidRDefault="00FB4DA5" w:rsidP="00C301AF">
      <w:pPr>
        <w:pStyle w:val="CRAnswer"/>
      </w:pPr>
      <w:r w:rsidRPr="00BD5593">
        <w:t>A.</w:t>
      </w:r>
      <w:r>
        <w:tab/>
      </w:r>
      <w:r w:rsidRPr="00996FDC">
        <w:t xml:space="preserve">As shown in the figure below, </w:t>
      </w:r>
      <w:r w:rsidR="694A9DA3" w:rsidRPr="00996FDC">
        <w:t xml:space="preserve">the </w:t>
      </w:r>
      <w:r w:rsidR="00844F8B" w:rsidRPr="00996FDC">
        <w:t>Regulatory</w:t>
      </w:r>
      <w:r w:rsidR="00FB1F27" w:rsidRPr="00996FDC">
        <w:t xml:space="preserve"> Services and Government</w:t>
      </w:r>
      <w:r w:rsidR="0B1F968C" w:rsidRPr="00996FDC">
        <w:t xml:space="preserve"> Affairs Department</w:t>
      </w:r>
      <w:r w:rsidR="007440F1" w:rsidRPr="00996FDC">
        <w:t xml:space="preserve"> </w:t>
      </w:r>
      <w:r w:rsidRPr="00996FDC">
        <w:t>falls</w:t>
      </w:r>
      <w:r w:rsidR="00C301AF" w:rsidRPr="00996FDC">
        <w:t xml:space="preserve"> within Corporate</w:t>
      </w:r>
      <w:r w:rsidR="73191A06" w:rsidRPr="00996FDC">
        <w:t xml:space="preserve"> </w:t>
      </w:r>
      <w:r w:rsidR="00C301AF" w:rsidRPr="00996FDC">
        <w:t>Services:</w:t>
      </w:r>
    </w:p>
    <w:p w14:paraId="51FA29F2" w14:textId="4B45A068" w:rsidR="00C301AF" w:rsidRPr="00C301AF" w:rsidRDefault="00441977" w:rsidP="1CCF50D0">
      <w:pPr>
        <w:ind w:left="3690"/>
        <w:rPr>
          <w:b/>
          <w:bCs/>
        </w:rPr>
      </w:pPr>
      <w:r w:rsidRPr="329FDB15">
        <w:rPr>
          <w:b/>
          <w:bCs/>
        </w:rPr>
        <w:t>Figure 1</w:t>
      </w:r>
    </w:p>
    <w:p w14:paraId="3C0969EE" w14:textId="792F8BA1" w:rsidR="00C301AF" w:rsidRDefault="007A02D6" w:rsidP="329FDB15">
      <w:pPr>
        <w:suppressLineNumbers/>
        <w:ind w:left="-1170" w:firstLine="720"/>
        <w:jc w:val="both"/>
      </w:pPr>
      <w:r>
        <w:rPr>
          <w:noProof/>
        </w:rPr>
        <w:drawing>
          <wp:inline distT="0" distB="0" distL="0" distR="0" wp14:anchorId="7063AC98" wp14:editId="29B0BFFC">
            <wp:extent cx="5784112" cy="3855632"/>
            <wp:effectExtent l="0" t="57150" r="0" b="50165"/>
            <wp:docPr id="2" name="Diagram 2">
              <a:extLst xmlns:a="http://schemas.openxmlformats.org/drawingml/2006/main">
                <a:ext uri="{FF2B5EF4-FFF2-40B4-BE49-F238E27FC236}">
                  <a16:creationId xmlns:a16="http://schemas.microsoft.com/office/drawing/2014/main" id="{178ED636-2A0F-63F7-FCDE-492D167CF536}"/>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CCB235F" w14:textId="05F1CF94" w:rsidR="00801C06" w:rsidRPr="00801C06" w:rsidRDefault="00801C06" w:rsidP="00C21AA3">
      <w:pPr>
        <w:pStyle w:val="CRQuestion"/>
        <w:keepNext/>
      </w:pPr>
      <w:r>
        <w:lastRenderedPageBreak/>
        <w:t>Q.</w:t>
      </w:r>
      <w:r>
        <w:tab/>
        <w:t xml:space="preserve">WHAT </w:t>
      </w:r>
      <w:r w:rsidR="009152C8">
        <w:t>ARE</w:t>
      </w:r>
      <w:r>
        <w:t xml:space="preserve"> THE</w:t>
      </w:r>
      <w:r w:rsidR="00844F8B">
        <w:t xml:space="preserve"> </w:t>
      </w:r>
      <w:r w:rsidR="00961607">
        <w:t>\</w:t>
      </w:r>
      <w:r>
        <w:t xml:space="preserve"> PRIMARY FUNCTION</w:t>
      </w:r>
      <w:r w:rsidR="009152C8">
        <w:t>S</w:t>
      </w:r>
      <w:r w:rsidR="00961607">
        <w:t xml:space="preserve"> of the Rates and Regulatory Portfolio Management</w:t>
      </w:r>
      <w:r w:rsidR="002A61A4">
        <w:t xml:space="preserve">, Regulatory </w:t>
      </w:r>
      <w:proofErr w:type="gramStart"/>
      <w:r w:rsidR="002A61A4">
        <w:t>relations</w:t>
      </w:r>
      <w:proofErr w:type="gramEnd"/>
      <w:r w:rsidR="00961607">
        <w:t xml:space="preserve"> and </w:t>
      </w:r>
      <w:r w:rsidR="004B0E6E">
        <w:t>Regulatory Policy groups</w:t>
      </w:r>
      <w:r>
        <w:t xml:space="preserve">?  </w:t>
      </w:r>
    </w:p>
    <w:p w14:paraId="5E7B52CC" w14:textId="5BAB9262" w:rsidR="007A70E4" w:rsidRDefault="00801C06" w:rsidP="0DBE69F8">
      <w:pPr>
        <w:spacing w:line="480" w:lineRule="auto"/>
      </w:pPr>
      <w:r>
        <w:t>A.</w:t>
      </w:r>
      <w:r>
        <w:tab/>
      </w:r>
      <w:r w:rsidR="77A3150F" w:rsidRPr="0DBE69F8">
        <w:rPr>
          <w:color w:val="000000" w:themeColor="text1"/>
          <w:szCs w:val="24"/>
        </w:rPr>
        <w:t xml:space="preserve">The Rates and Regulatory Portfolio Management, Regulatory Relations, and </w:t>
      </w:r>
      <w:r>
        <w:tab/>
      </w:r>
      <w:r w:rsidR="77A3150F" w:rsidRPr="0DBE69F8">
        <w:rPr>
          <w:color w:val="000000" w:themeColor="text1"/>
          <w:szCs w:val="24"/>
        </w:rPr>
        <w:t>Regulatory Policy Groups provide</w:t>
      </w:r>
      <w:r w:rsidR="007A70E4">
        <w:t xml:space="preserve"> </w:t>
      </w:r>
      <w:r w:rsidR="009152C8">
        <w:t xml:space="preserve">regulatory </w:t>
      </w:r>
      <w:r w:rsidR="007A70E4">
        <w:t xml:space="preserve">services for </w:t>
      </w:r>
      <w:proofErr w:type="gramStart"/>
      <w:r w:rsidR="007A70E4">
        <w:t>all of</w:t>
      </w:r>
      <w:proofErr w:type="gramEnd"/>
      <w:r w:rsidR="007A70E4">
        <w:t xml:space="preserve"> CNP’s </w:t>
      </w:r>
      <w:r>
        <w:tab/>
      </w:r>
      <w:r>
        <w:tab/>
      </w:r>
      <w:r w:rsidR="007A70E4">
        <w:t xml:space="preserve">regulated electric and gas operations.  Services provided to CenterPoint Houston </w:t>
      </w:r>
      <w:r>
        <w:tab/>
      </w:r>
      <w:r w:rsidR="007A70E4">
        <w:t>include:</w:t>
      </w:r>
    </w:p>
    <w:p w14:paraId="48FE45C4" w14:textId="43D082A8" w:rsidR="007A70E4" w:rsidRDefault="6A5188F4" w:rsidP="000B0FA8">
      <w:pPr>
        <w:pStyle w:val="CRAnswer"/>
        <w:numPr>
          <w:ilvl w:val="0"/>
          <w:numId w:val="5"/>
        </w:numPr>
      </w:pPr>
      <w:r>
        <w:t>d</w:t>
      </w:r>
      <w:r w:rsidR="007A70E4">
        <w:t xml:space="preserve">eveloping regulatory policy and </w:t>
      </w:r>
      <w:proofErr w:type="gramStart"/>
      <w:r w:rsidR="007A70E4">
        <w:t>strategy;</w:t>
      </w:r>
      <w:proofErr w:type="gramEnd"/>
    </w:p>
    <w:p w14:paraId="0C5CD8B1" w14:textId="0ED6114B" w:rsidR="007A70E4" w:rsidRDefault="34BE64F1" w:rsidP="000B0FA8">
      <w:pPr>
        <w:pStyle w:val="CRAnswer"/>
        <w:numPr>
          <w:ilvl w:val="0"/>
          <w:numId w:val="5"/>
        </w:numPr>
      </w:pPr>
      <w:r>
        <w:t>o</w:t>
      </w:r>
      <w:r w:rsidR="007A70E4">
        <w:t xml:space="preserve">verseeing rules and procedures to ensure regulatory </w:t>
      </w:r>
      <w:proofErr w:type="gramStart"/>
      <w:r w:rsidR="007A70E4">
        <w:t>compliance;</w:t>
      </w:r>
      <w:proofErr w:type="gramEnd"/>
    </w:p>
    <w:p w14:paraId="286C8C44" w14:textId="4C13CDD9" w:rsidR="004B3E47" w:rsidRDefault="3F863743" w:rsidP="000B0FA8">
      <w:pPr>
        <w:pStyle w:val="CRAnswer"/>
        <w:numPr>
          <w:ilvl w:val="0"/>
          <w:numId w:val="5"/>
        </w:numPr>
      </w:pPr>
      <w:r>
        <w:t>r</w:t>
      </w:r>
      <w:r w:rsidR="007A70E4">
        <w:t>epresenting the Company’s interests in interactions with national and regional trade, industry, and profe</w:t>
      </w:r>
      <w:r w:rsidR="00E05BFC">
        <w:t>ssional</w:t>
      </w:r>
      <w:r w:rsidR="004B3E47">
        <w:t xml:space="preserve"> </w:t>
      </w:r>
      <w:proofErr w:type="gramStart"/>
      <w:r w:rsidR="004B3E47">
        <w:t>organizations;</w:t>
      </w:r>
      <w:proofErr w:type="gramEnd"/>
    </w:p>
    <w:p w14:paraId="1A69F042" w14:textId="3C203EBD" w:rsidR="004B3E47" w:rsidRDefault="021C804C" w:rsidP="000B0FA8">
      <w:pPr>
        <w:pStyle w:val="CRAnswer"/>
        <w:numPr>
          <w:ilvl w:val="0"/>
          <w:numId w:val="5"/>
        </w:numPr>
      </w:pPr>
      <w:r>
        <w:t>p</w:t>
      </w:r>
      <w:r w:rsidR="004B3E47">
        <w:t>roviding litigation support in regulatory proceedings</w:t>
      </w:r>
      <w:r w:rsidR="00BE6E38">
        <w:t xml:space="preserve"> including any related appeals in the courts</w:t>
      </w:r>
      <w:r w:rsidR="004B3E47">
        <w:t xml:space="preserve">; and </w:t>
      </w:r>
    </w:p>
    <w:p w14:paraId="7CC7551C" w14:textId="5C6F8FA1" w:rsidR="00E26612" w:rsidRDefault="46929DFB" w:rsidP="000B0FA8">
      <w:pPr>
        <w:pStyle w:val="CRAnswer"/>
        <w:numPr>
          <w:ilvl w:val="0"/>
          <w:numId w:val="5"/>
        </w:numPr>
      </w:pPr>
      <w:r>
        <w:t>p</w:t>
      </w:r>
      <w:r w:rsidR="004B3E47">
        <w:t>reparing and managing regulatory filings, including tariff filings, annual affiliate reports</w:t>
      </w:r>
      <w:r w:rsidR="004202A3">
        <w:t xml:space="preserve">, and other regulatory documentation, such as the earnings monitoring report filed with the </w:t>
      </w:r>
      <w:r w:rsidR="00AB7A9D">
        <w:t xml:space="preserve">Public Utility </w:t>
      </w:r>
      <w:r w:rsidR="004202A3">
        <w:t>Commission</w:t>
      </w:r>
      <w:r w:rsidR="00AB7A9D">
        <w:t xml:space="preserve"> of Texas (“Commission”</w:t>
      </w:r>
      <w:proofErr w:type="gramStart"/>
      <w:r w:rsidR="00AB7A9D">
        <w:t>)</w:t>
      </w:r>
      <w:r w:rsidR="118D35B7">
        <w:t>;</w:t>
      </w:r>
      <w:proofErr w:type="gramEnd"/>
      <w:r w:rsidR="118D35B7">
        <w:t xml:space="preserve"> </w:t>
      </w:r>
      <w:r w:rsidR="004202A3">
        <w:t xml:space="preserve"> </w:t>
      </w:r>
    </w:p>
    <w:p w14:paraId="0BF88182" w14:textId="39437754" w:rsidR="002A61A4" w:rsidRDefault="111BB08F" w:rsidP="000B0FA8">
      <w:pPr>
        <w:pStyle w:val="CRAnswer"/>
        <w:numPr>
          <w:ilvl w:val="0"/>
          <w:numId w:val="5"/>
        </w:numPr>
      </w:pPr>
      <w:r>
        <w:t>preparing</w:t>
      </w:r>
      <w:r w:rsidR="00E26612">
        <w:t xml:space="preserve"> and </w:t>
      </w:r>
      <w:r w:rsidR="0175F6A2">
        <w:t>overseeing</w:t>
      </w:r>
      <w:r w:rsidR="00E26612">
        <w:t xml:space="preserve"> all aspects of the rate case process, including the preparation of the rate filing package, responding to discover</w:t>
      </w:r>
      <w:r w:rsidR="002A61A4">
        <w:t>y</w:t>
      </w:r>
      <w:r w:rsidR="00E26612">
        <w:t>, and providing hearing support</w:t>
      </w:r>
      <w:r w:rsidR="34E5A4B2">
        <w:t>; and</w:t>
      </w:r>
    </w:p>
    <w:p w14:paraId="0C07C3FA" w14:textId="1FD8643F" w:rsidR="00E26612" w:rsidRDefault="499544BA" w:rsidP="000B0FA8">
      <w:pPr>
        <w:pStyle w:val="CRAnswer"/>
        <w:numPr>
          <w:ilvl w:val="0"/>
          <w:numId w:val="5"/>
        </w:numPr>
      </w:pPr>
      <w:r>
        <w:t>promoting</w:t>
      </w:r>
      <w:r w:rsidR="00AA3255">
        <w:t xml:space="preserve"> and </w:t>
      </w:r>
      <w:r w:rsidR="2B6C4CE1">
        <w:t>maintaining</w:t>
      </w:r>
      <w:r w:rsidR="00AA3255">
        <w:t xml:space="preserve"> collaborative </w:t>
      </w:r>
      <w:r w:rsidR="4CABDEF2" w:rsidRPr="00996FDC">
        <w:t xml:space="preserve">working </w:t>
      </w:r>
      <w:r w:rsidR="00AA3255" w:rsidRPr="00996FDC">
        <w:t>rela</w:t>
      </w:r>
      <w:r w:rsidR="00AA3255">
        <w:t xml:space="preserve">tionships with regulators and third </w:t>
      </w:r>
      <w:r w:rsidR="00314F1A">
        <w:t>parties and</w:t>
      </w:r>
      <w:r w:rsidR="00AA3255">
        <w:t xml:space="preserve"> </w:t>
      </w:r>
      <w:r w:rsidR="67B387D7">
        <w:t>representing</w:t>
      </w:r>
      <w:r w:rsidR="00AA3255">
        <w:t xml:space="preserve"> the Company’s position in regulatory matters before </w:t>
      </w:r>
      <w:r w:rsidR="00AA3255" w:rsidRPr="00996FDC">
        <w:t>the Commission</w:t>
      </w:r>
      <w:r w:rsidR="4E47AF53" w:rsidRPr="00996FDC">
        <w:t xml:space="preserve"> as well as </w:t>
      </w:r>
      <w:r w:rsidR="5CEF003E" w:rsidRPr="00996FDC">
        <w:t xml:space="preserve">in matters being </w:t>
      </w:r>
      <w:r w:rsidR="5CEF003E" w:rsidRPr="00996FDC">
        <w:lastRenderedPageBreak/>
        <w:t xml:space="preserve">considered in the </w:t>
      </w:r>
      <w:r w:rsidR="559DCF11" w:rsidRPr="00996FDC">
        <w:t xml:space="preserve">Electric Reliability Council of Texas (ERCOT) stakeholder </w:t>
      </w:r>
      <w:proofErr w:type="gramStart"/>
      <w:r w:rsidR="559DCF11" w:rsidRPr="00996FDC">
        <w:t>process</w:t>
      </w:r>
      <w:r w:rsidR="7D87BB81" w:rsidRPr="00996FDC">
        <w:t>,</w:t>
      </w:r>
      <w:r w:rsidR="00AA3255" w:rsidRPr="00996FDC">
        <w:t xml:space="preserve"> and</w:t>
      </w:r>
      <w:proofErr w:type="gramEnd"/>
      <w:r w:rsidR="00AA3255" w:rsidRPr="00996FDC">
        <w:t xml:space="preserve"> </w:t>
      </w:r>
      <w:r w:rsidR="41A37779" w:rsidRPr="00996FDC">
        <w:t>acting</w:t>
      </w:r>
      <w:r w:rsidR="00AA3255" w:rsidRPr="00996FDC">
        <w:t xml:space="preserve"> as the Comp</w:t>
      </w:r>
      <w:r w:rsidR="007F3D61" w:rsidRPr="00996FDC">
        <w:t>an</w:t>
      </w:r>
      <w:r w:rsidR="00AA3255" w:rsidRPr="00996FDC">
        <w:t>y’s pri</w:t>
      </w:r>
      <w:r w:rsidR="00AA3255">
        <w:t>mary liaison in thes</w:t>
      </w:r>
      <w:r w:rsidR="007F3D61">
        <w:t>e</w:t>
      </w:r>
      <w:r w:rsidR="00AA3255">
        <w:t xml:space="preserve"> matters.  </w:t>
      </w:r>
    </w:p>
    <w:p w14:paraId="1542CEF4" w14:textId="185249A9" w:rsidR="00E26612" w:rsidRDefault="00E26612" w:rsidP="00EF6580">
      <w:pPr>
        <w:pStyle w:val="CRAnswer"/>
      </w:pPr>
      <w:r w:rsidRPr="00EF6580">
        <w:rPr>
          <w:b/>
        </w:rPr>
        <w:t>Q.</w:t>
      </w:r>
      <w:r>
        <w:tab/>
      </w:r>
      <w:r w:rsidRPr="002B39B5">
        <w:rPr>
          <w:b/>
          <w:bCs/>
          <w:caps/>
        </w:rPr>
        <w:t xml:space="preserve">What are the primary functions of the </w:t>
      </w:r>
      <w:r>
        <w:rPr>
          <w:b/>
          <w:bCs/>
          <w:caps/>
        </w:rPr>
        <w:t>Local, State, and Federal government affairs</w:t>
      </w:r>
      <w:r w:rsidRPr="002B39B5">
        <w:rPr>
          <w:b/>
          <w:bCs/>
          <w:caps/>
        </w:rPr>
        <w:t xml:space="preserve"> Group?</w:t>
      </w:r>
    </w:p>
    <w:p w14:paraId="47704403" w14:textId="1610BDDE" w:rsidR="00914794" w:rsidRDefault="00E26612" w:rsidP="00EF6580">
      <w:pPr>
        <w:pStyle w:val="CRAnswer"/>
      </w:pPr>
      <w:r>
        <w:t>A.</w:t>
      </w:r>
      <w:r>
        <w:tab/>
      </w:r>
      <w:r w:rsidR="2A538477">
        <w:t>The Local, State, and Federal Government Affairs Group</w:t>
      </w:r>
      <w:r w:rsidR="00AA3255">
        <w:t xml:space="preserve"> supports </w:t>
      </w:r>
      <w:r w:rsidR="00EF0923">
        <w:t>CNP’s</w:t>
      </w:r>
      <w:r w:rsidR="00AA3255">
        <w:t xml:space="preserve"> state and federal legislative activities and interacts with local governments on behalf of CNP’s electric and gas utilities.  </w:t>
      </w:r>
      <w:r w:rsidR="007F3D61">
        <w:t xml:space="preserve">  </w:t>
      </w:r>
      <w:r w:rsidR="005D2376">
        <w:t xml:space="preserve">  </w:t>
      </w:r>
    </w:p>
    <w:p w14:paraId="7E4E2963" w14:textId="241D1C83" w:rsidR="00914794" w:rsidRPr="00865A58" w:rsidRDefault="00914794" w:rsidP="00EF6580">
      <w:pPr>
        <w:pStyle w:val="CRAnswer"/>
        <w:rPr>
          <w:rFonts w:ascii="Times New Roman Bold" w:hAnsi="Times New Roman Bold"/>
          <w:b/>
          <w:caps/>
        </w:rPr>
      </w:pPr>
      <w:r w:rsidRPr="00865A58">
        <w:rPr>
          <w:rFonts w:ascii="Times New Roman Bold" w:hAnsi="Times New Roman Bold"/>
          <w:b/>
          <w:caps/>
        </w:rPr>
        <w:t>Q.</w:t>
      </w:r>
      <w:r>
        <w:tab/>
      </w:r>
      <w:r w:rsidRPr="00865A58">
        <w:rPr>
          <w:rFonts w:ascii="Times New Roman Bold" w:hAnsi="Times New Roman Bold"/>
          <w:b/>
          <w:caps/>
        </w:rPr>
        <w:t>What are the primary functions of the Regulatory Legal group?</w:t>
      </w:r>
    </w:p>
    <w:p w14:paraId="3818B1D1" w14:textId="3DF3AA6F" w:rsidR="00801C06" w:rsidRDefault="00914794" w:rsidP="005F4D73">
      <w:pPr>
        <w:pStyle w:val="CRAnswer"/>
      </w:pPr>
      <w:r>
        <w:t>A.</w:t>
      </w:r>
      <w:r>
        <w:tab/>
      </w:r>
      <w:r w:rsidR="005D2376">
        <w:t>The Regulatory Legal group</w:t>
      </w:r>
      <w:r w:rsidR="005A3DFB">
        <w:t xml:space="preserve"> is responsible for </w:t>
      </w:r>
      <w:r w:rsidR="00AB7A9D">
        <w:t xml:space="preserve">representing the Company in proceedings subject to the jurisdiction of the Commission </w:t>
      </w:r>
      <w:r w:rsidR="002109F1">
        <w:t xml:space="preserve">and municipalities that retain original jurisdiction over CenterPoint Houston’s rates, operations, and services under the Public Utility Regulatory Act (“PURA”) and in other matters </w:t>
      </w:r>
      <w:r w:rsidR="00865A58">
        <w:t>that</w:t>
      </w:r>
      <w:r w:rsidR="002109F1">
        <w:t xml:space="preserve"> involve regulatory or administrative law, including for other affiliates in other jurisd</w:t>
      </w:r>
      <w:r w:rsidR="002A61A4">
        <w:t>i</w:t>
      </w:r>
      <w:r w:rsidR="002109F1">
        <w:t>ctions and/or before other regulatory agencies</w:t>
      </w:r>
      <w:r w:rsidR="004B230D">
        <w:rPr>
          <w:rStyle w:val="FootnoteReference"/>
        </w:rPr>
        <w:footnoteReference w:id="2"/>
      </w:r>
      <w:r w:rsidR="002109F1">
        <w:t xml:space="preserve">.  The Regulatory </w:t>
      </w:r>
      <w:r w:rsidR="2A7E88C0">
        <w:t>L</w:t>
      </w:r>
      <w:r>
        <w:t xml:space="preserve">egal team is also responsible for (i) implementing the Commission’s Code of Conduct and setting up procedures to help ensure compliance; (ii) assisting management in the development and implementation of regulatory strategies, including regulatory compliance programs; and (iii) directly supporting </w:t>
      </w:r>
      <w:r w:rsidR="00703821">
        <w:t>CNP’s</w:t>
      </w:r>
      <w:r>
        <w:t xml:space="preserve"> and its affiliates’ state </w:t>
      </w:r>
      <w:r>
        <w:lastRenderedPageBreak/>
        <w:t>and federal legislative activities.  This</w:t>
      </w:r>
      <w:r w:rsidR="00931309">
        <w:t xml:space="preserve"> team is also responsible for negotiating municipal franchise agreements on behalf of CNP’s electric and gas utilities. </w:t>
      </w:r>
      <w:r w:rsidR="00801C06">
        <w:t xml:space="preserve">   </w:t>
      </w:r>
      <w:r w:rsidR="000624F8">
        <w:t xml:space="preserve">  </w:t>
      </w:r>
    </w:p>
    <w:p w14:paraId="2A63DB60" w14:textId="7A433E36" w:rsidR="004917AD" w:rsidRPr="00260731" w:rsidRDefault="00CF5F95" w:rsidP="000B41F5">
      <w:pPr>
        <w:pStyle w:val="ListParagraph"/>
        <w:spacing w:line="480" w:lineRule="auto"/>
        <w:ind w:hanging="720"/>
        <w:jc w:val="both"/>
        <w:rPr>
          <w:rFonts w:ascii="Times New Roman" w:eastAsia="Times New Roman Bold" w:hAnsi="Times New Roman"/>
          <w:b/>
          <w:sz w:val="24"/>
          <w:szCs w:val="24"/>
        </w:rPr>
      </w:pPr>
      <w:bookmarkStart w:id="7" w:name="_Toc152840604"/>
      <w:bookmarkStart w:id="8" w:name="_Toc152840618"/>
      <w:bookmarkStart w:id="9" w:name="_Toc152840632"/>
      <w:bookmarkStart w:id="10" w:name="_Toc152840646"/>
      <w:bookmarkStart w:id="11" w:name="_Toc152840660"/>
      <w:bookmarkStart w:id="12" w:name="_Toc152840677"/>
      <w:bookmarkEnd w:id="7"/>
      <w:bookmarkEnd w:id="8"/>
      <w:bookmarkEnd w:id="9"/>
      <w:bookmarkEnd w:id="10"/>
      <w:bookmarkEnd w:id="11"/>
      <w:bookmarkEnd w:id="12"/>
      <w:proofErr w:type="gramStart"/>
      <w:r w:rsidRPr="00260731">
        <w:rPr>
          <w:rFonts w:ascii="Times New Roman" w:eastAsia="Times New Roman Bold" w:hAnsi="Times New Roman"/>
          <w:b/>
          <w:sz w:val="24"/>
          <w:szCs w:val="24"/>
        </w:rPr>
        <w:t>Q.</w:t>
      </w:r>
      <w:proofErr w:type="gramEnd"/>
      <w:r>
        <w:tab/>
      </w:r>
      <w:r w:rsidRPr="00260731">
        <w:rPr>
          <w:rFonts w:ascii="Times New Roman" w:eastAsia="Times New Roman Bold" w:hAnsi="Times New Roman"/>
          <w:b/>
          <w:sz w:val="24"/>
          <w:szCs w:val="24"/>
        </w:rPr>
        <w:t xml:space="preserve">PLEASE DESCRIBE THE COSTS ASSIGNED TO CENTERPOINT HOUSTON FOR </w:t>
      </w:r>
      <w:r w:rsidR="00BA4DE5" w:rsidRPr="00260731">
        <w:rPr>
          <w:rFonts w:ascii="Times New Roman" w:eastAsia="Times New Roman Bold" w:hAnsi="Times New Roman"/>
          <w:b/>
          <w:sz w:val="24"/>
          <w:szCs w:val="24"/>
        </w:rPr>
        <w:t>REGULATORY</w:t>
      </w:r>
      <w:r w:rsidRPr="00260731" w:rsidDel="00CF5F95">
        <w:rPr>
          <w:rFonts w:ascii="Times New Roman" w:eastAsia="Times New Roman Bold" w:hAnsi="Times New Roman"/>
          <w:b/>
          <w:sz w:val="24"/>
          <w:szCs w:val="24"/>
        </w:rPr>
        <w:t xml:space="preserve"> </w:t>
      </w:r>
      <w:r w:rsidRPr="00260731">
        <w:rPr>
          <w:rFonts w:ascii="Times New Roman" w:eastAsia="Times New Roman Bold" w:hAnsi="Times New Roman"/>
          <w:b/>
          <w:sz w:val="24"/>
          <w:szCs w:val="24"/>
        </w:rPr>
        <w:t xml:space="preserve">SERVICES AND </w:t>
      </w:r>
      <w:r w:rsidR="3077191E" w:rsidRPr="00260731">
        <w:rPr>
          <w:rFonts w:ascii="Times New Roman" w:eastAsia="Times New Roman Bold" w:hAnsi="Times New Roman"/>
          <w:b/>
          <w:sz w:val="24"/>
          <w:szCs w:val="24"/>
        </w:rPr>
        <w:t xml:space="preserve">GOVERNMENT </w:t>
      </w:r>
      <w:r w:rsidRPr="00260731">
        <w:rPr>
          <w:rFonts w:ascii="Times New Roman" w:eastAsia="Times New Roman Bold" w:hAnsi="Times New Roman"/>
          <w:b/>
          <w:sz w:val="24"/>
          <w:szCs w:val="24"/>
        </w:rPr>
        <w:t>A</w:t>
      </w:r>
      <w:r w:rsidR="3077191E" w:rsidRPr="00260731">
        <w:rPr>
          <w:rFonts w:ascii="Times New Roman" w:eastAsia="Times New Roman Bold" w:hAnsi="Times New Roman"/>
          <w:b/>
          <w:sz w:val="24"/>
          <w:szCs w:val="24"/>
        </w:rPr>
        <w:t xml:space="preserve">FFAIRS </w:t>
      </w:r>
      <w:r w:rsidRPr="00260731">
        <w:rPr>
          <w:rFonts w:ascii="Times New Roman" w:eastAsia="Times New Roman Bold" w:hAnsi="Times New Roman"/>
          <w:b/>
          <w:sz w:val="24"/>
          <w:szCs w:val="24"/>
        </w:rPr>
        <w:t>AND THE METHODOLOGY USED TO ASSIGN THOSE COSTS.</w:t>
      </w:r>
    </w:p>
    <w:p w14:paraId="25C9C2E7" w14:textId="7469A47F" w:rsidR="00D16A8C" w:rsidRPr="00DE5148" w:rsidRDefault="003C7D17" w:rsidP="00D16A8C">
      <w:pPr>
        <w:spacing w:line="480" w:lineRule="auto"/>
        <w:ind w:left="720" w:hanging="720"/>
        <w:jc w:val="both"/>
      </w:pPr>
      <w:r>
        <w:t>A.</w:t>
      </w:r>
      <w:r>
        <w:tab/>
        <w:t xml:space="preserve">The costs assigned to CenterPoint Houston </w:t>
      </w:r>
      <w:r w:rsidR="00B63103">
        <w:t>for t</w:t>
      </w:r>
      <w:r w:rsidR="00AB2080">
        <w:t xml:space="preserve">he test year ended </w:t>
      </w:r>
      <w:r w:rsidR="00965523">
        <w:t>December 31</w:t>
      </w:r>
      <w:r w:rsidR="00AB2080">
        <w:t xml:space="preserve">, </w:t>
      </w:r>
      <w:bookmarkStart w:id="13" w:name="_Int_imHnIRP4"/>
      <w:proofErr w:type="gramStart"/>
      <w:r w:rsidR="00B63103">
        <w:t>2</w:t>
      </w:r>
      <w:r w:rsidR="00B63103" w:rsidRPr="00996FDC">
        <w:t>0</w:t>
      </w:r>
      <w:r w:rsidR="00D70267" w:rsidRPr="00996FDC">
        <w:t>23</w:t>
      </w:r>
      <w:bookmarkEnd w:id="13"/>
      <w:proofErr w:type="gramEnd"/>
      <w:r w:rsidR="61168A96" w:rsidRPr="00996FDC">
        <w:t xml:space="preserve"> </w:t>
      </w:r>
      <w:r w:rsidRPr="00996FDC">
        <w:t xml:space="preserve">for </w:t>
      </w:r>
      <w:r w:rsidR="0134563B" w:rsidRPr="00996FDC">
        <w:t xml:space="preserve">the </w:t>
      </w:r>
      <w:r w:rsidR="00BA4DE5" w:rsidRPr="00996FDC">
        <w:t>Regulatory</w:t>
      </w:r>
      <w:r w:rsidR="51EDE682" w:rsidRPr="00996FDC">
        <w:t xml:space="preserve"> </w:t>
      </w:r>
      <w:r w:rsidR="00965523" w:rsidRPr="00996FDC">
        <w:t xml:space="preserve">Services and Government </w:t>
      </w:r>
      <w:r w:rsidR="51EDE682" w:rsidRPr="00996FDC">
        <w:t>Affairs Department</w:t>
      </w:r>
      <w:r w:rsidR="00BA4DE5" w:rsidRPr="00996FDC">
        <w:t xml:space="preserve"> </w:t>
      </w:r>
      <w:r w:rsidR="64EAF96F" w:rsidRPr="00996FDC">
        <w:t>ar</w:t>
      </w:r>
      <w:r w:rsidR="00EC07E4" w:rsidRPr="00996FDC">
        <w:t xml:space="preserve">e </w:t>
      </w:r>
      <w:r w:rsidR="0B1E3EFA" w:rsidRPr="00996FDC">
        <w:t xml:space="preserve">explained in the direct testimony of Company witness </w:t>
      </w:r>
      <w:r w:rsidR="4068FD2F" w:rsidRPr="00996FDC">
        <w:t>L. Darren Storey</w:t>
      </w:r>
      <w:r w:rsidR="0B1E3EFA" w:rsidRPr="00996FDC">
        <w:t xml:space="preserve">. Thus, CenterPoint Houston’s </w:t>
      </w:r>
      <w:r w:rsidR="003C69F1">
        <w:t>regulatory</w:t>
      </w:r>
      <w:r w:rsidR="0B1E3EFA" w:rsidRPr="00996FDC">
        <w:t xml:space="preserve"> costs should be recovered in full through rates. </w:t>
      </w:r>
      <w:r w:rsidR="006A2F5D" w:rsidRPr="00996FDC">
        <w:t xml:space="preserve"> </w:t>
      </w:r>
      <w:r w:rsidRPr="00996FDC">
        <w:t>Cos</w:t>
      </w:r>
      <w:r>
        <w:t xml:space="preserve">ts </w:t>
      </w:r>
      <w:r w:rsidR="0089034E">
        <w:t xml:space="preserve">for </w:t>
      </w:r>
      <w:r w:rsidR="00B45226">
        <w:t>CenterPoint Houston</w:t>
      </w:r>
      <w:r w:rsidR="0089034E">
        <w:t xml:space="preserve">-specific work </w:t>
      </w:r>
      <w:bookmarkStart w:id="14" w:name="_Int_MGmzXT64"/>
      <w:r w:rsidR="0089034E">
        <w:t>are</w:t>
      </w:r>
      <w:bookmarkEnd w:id="14"/>
      <w:r w:rsidR="0089034E">
        <w:t xml:space="preserve"> </w:t>
      </w:r>
      <w:r>
        <w:t xml:space="preserve">directly assigned to </w:t>
      </w:r>
      <w:r w:rsidR="00B45226">
        <w:t>CenterPoint Houston</w:t>
      </w:r>
      <w:r w:rsidR="0089034E">
        <w:t xml:space="preserve">. </w:t>
      </w:r>
      <w:r w:rsidR="00F7737E">
        <w:t xml:space="preserve"> </w:t>
      </w:r>
      <w:r w:rsidR="00BA4DE5">
        <w:t xml:space="preserve">Regulatory </w:t>
      </w:r>
      <w:r w:rsidR="00060C11">
        <w:t xml:space="preserve">Services and Government </w:t>
      </w:r>
      <w:r w:rsidR="108A247E">
        <w:t xml:space="preserve">Affairs </w:t>
      </w:r>
      <w:r w:rsidR="00F7737E">
        <w:t xml:space="preserve">Department </w:t>
      </w:r>
      <w:r w:rsidR="00060C11">
        <w:t xml:space="preserve">employees </w:t>
      </w:r>
      <w:r w:rsidR="00652742">
        <w:t xml:space="preserve">directly bill the cost associated with the time spent on </w:t>
      </w:r>
      <w:r w:rsidR="00B45226">
        <w:t>CenterPoint Houston</w:t>
      </w:r>
      <w:r w:rsidR="00652742">
        <w:t xml:space="preserve"> regulatory</w:t>
      </w:r>
      <w:r w:rsidR="007B5705">
        <w:t xml:space="preserve"> services and government affairs work</w:t>
      </w:r>
      <w:r w:rsidR="00B45226">
        <w:t xml:space="preserve"> to CenterPoint Houston</w:t>
      </w:r>
      <w:r w:rsidR="007B5705">
        <w:t xml:space="preserve">.  </w:t>
      </w:r>
      <w:r w:rsidR="00D16A8C">
        <w:t xml:space="preserve">Regulatory services provided to other affiliates are tracked separately so that costs attributable to other affiliates are not charged to CenterPoint Houston.  </w:t>
      </w:r>
    </w:p>
    <w:p w14:paraId="669F9095" w14:textId="77777777" w:rsidR="00996FDC" w:rsidRDefault="009562A0" w:rsidP="00996FDC">
      <w:pPr>
        <w:spacing w:line="480" w:lineRule="auto"/>
        <w:ind w:left="720"/>
        <w:jc w:val="both"/>
      </w:pPr>
      <w:r>
        <w:t xml:space="preserve">Certain corporate services and projects that benefit all CNP business units are allocated </w:t>
      </w:r>
      <w:r w:rsidR="00DC360B">
        <w:t xml:space="preserve">in part </w:t>
      </w:r>
      <w:r>
        <w:t>to the Company and</w:t>
      </w:r>
      <w:r w:rsidR="00D40DE1">
        <w:t xml:space="preserve"> are billed at the same rate </w:t>
      </w:r>
      <w:r>
        <w:t xml:space="preserve">to all affiliates, including CenterPoint Houston.  These </w:t>
      </w:r>
      <w:r w:rsidR="00D40DE1">
        <w:t xml:space="preserve">rates are designed to cover only the costs of providing such services.  </w:t>
      </w:r>
      <w:r w:rsidR="00451E15">
        <w:t>Mr. Storey discusses h</w:t>
      </w:r>
      <w:r w:rsidR="002E5C48">
        <w:t>ow</w:t>
      </w:r>
      <w:r w:rsidR="00C301AF">
        <w:t xml:space="preserve"> costs are allocated for all activities and expenses related to services that </w:t>
      </w:r>
      <w:r w:rsidR="003D8AD0">
        <w:t xml:space="preserve">the </w:t>
      </w:r>
      <w:r w:rsidR="00BA4DE5">
        <w:t>Regulatory</w:t>
      </w:r>
      <w:r w:rsidR="005F4D73">
        <w:t xml:space="preserve"> Services and Government</w:t>
      </w:r>
      <w:r w:rsidR="00E61521" w:rsidRPr="00E61521">
        <w:t xml:space="preserve"> </w:t>
      </w:r>
      <w:r w:rsidR="3DA4DF70">
        <w:t xml:space="preserve">Affairs </w:t>
      </w:r>
      <w:r w:rsidR="002E5C48">
        <w:t xml:space="preserve">Department </w:t>
      </w:r>
      <w:r w:rsidR="00E61521">
        <w:t>provide</w:t>
      </w:r>
      <w:r w:rsidR="00451E15">
        <w:t>s</w:t>
      </w:r>
      <w:r w:rsidR="00E61521">
        <w:t xml:space="preserve"> directly to </w:t>
      </w:r>
      <w:r w:rsidR="00B9770C">
        <w:t xml:space="preserve">CenterPoint </w:t>
      </w:r>
      <w:r w:rsidR="00451E15">
        <w:t>Houston</w:t>
      </w:r>
      <w:r w:rsidR="00E61521">
        <w:t xml:space="preserve">.  Mr. Storey explains that these cost allocation methodologies ensure that CenterPoint </w:t>
      </w:r>
      <w:r w:rsidR="00E61521">
        <w:lastRenderedPageBreak/>
        <w:t xml:space="preserve">Houston is charged for </w:t>
      </w:r>
      <w:r w:rsidR="00F41E29">
        <w:t>regulatory services and government affairs</w:t>
      </w:r>
      <w:r w:rsidR="00E61521">
        <w:t xml:space="preserve"> at rates that are no higher than those charged to other CNP business units for the same services.</w:t>
      </w:r>
    </w:p>
    <w:p w14:paraId="39C602E6" w14:textId="4359708E" w:rsidR="00CF5F95" w:rsidRPr="008F5F33" w:rsidRDefault="00CF5F95" w:rsidP="3B336FFB">
      <w:pPr>
        <w:spacing w:line="480" w:lineRule="auto"/>
        <w:jc w:val="both"/>
        <w:rPr>
          <w:b/>
          <w:bCs/>
        </w:rPr>
      </w:pPr>
      <w:r w:rsidRPr="3B336FFB">
        <w:rPr>
          <w:b/>
          <w:bCs/>
        </w:rPr>
        <w:t>Q.</w:t>
      </w:r>
      <w:r>
        <w:tab/>
      </w:r>
      <w:r w:rsidRPr="3B336FFB">
        <w:rPr>
          <w:b/>
          <w:bCs/>
        </w:rPr>
        <w:t xml:space="preserve">HOW DOES </w:t>
      </w:r>
      <w:r w:rsidR="00E20DF2" w:rsidRPr="3B336FFB">
        <w:rPr>
          <w:b/>
          <w:bCs/>
        </w:rPr>
        <w:t xml:space="preserve">THE </w:t>
      </w:r>
      <w:r w:rsidR="00BA4DE5" w:rsidRPr="3B336FFB">
        <w:rPr>
          <w:b/>
          <w:bCs/>
        </w:rPr>
        <w:t xml:space="preserve">REGULATORY </w:t>
      </w:r>
      <w:r w:rsidR="00F41E29" w:rsidRPr="4DAC81F5">
        <w:rPr>
          <w:rFonts w:ascii="Times New Roman Bold" w:hAnsi="Times New Roman Bold"/>
          <w:b/>
          <w:caps/>
        </w:rPr>
        <w:t xml:space="preserve">services and government </w:t>
      </w:r>
      <w:r>
        <w:tab/>
      </w:r>
      <w:r w:rsidR="2C32DEF7" w:rsidRPr="3B336FFB">
        <w:rPr>
          <w:b/>
          <w:bCs/>
        </w:rPr>
        <w:t xml:space="preserve">AFFAIRS </w:t>
      </w:r>
      <w:r w:rsidR="00E20DF2" w:rsidRPr="3B336FFB">
        <w:rPr>
          <w:b/>
          <w:bCs/>
        </w:rPr>
        <w:t>DEPARTMENT MONITOR EXPENSES TO ENSURE TH</w:t>
      </w:r>
      <w:r w:rsidRPr="3B336FFB">
        <w:rPr>
          <w:b/>
          <w:bCs/>
        </w:rPr>
        <w:t xml:space="preserve">AT </w:t>
      </w:r>
      <w:r>
        <w:tab/>
      </w:r>
      <w:r w:rsidRPr="3B336FFB">
        <w:rPr>
          <w:b/>
          <w:bCs/>
        </w:rPr>
        <w:t>THE COSTS IT INCURS ARE REASONABLE AND NECESSARY</w:t>
      </w:r>
      <w:r w:rsidR="00F7737E" w:rsidRPr="3B336FFB">
        <w:rPr>
          <w:b/>
          <w:bCs/>
        </w:rPr>
        <w:t xml:space="preserve"> AND </w:t>
      </w:r>
      <w:r>
        <w:tab/>
      </w:r>
      <w:r w:rsidR="00F7737E" w:rsidRPr="3B336FFB">
        <w:rPr>
          <w:b/>
          <w:bCs/>
        </w:rPr>
        <w:t>THAT COSTS ARE PROPERLY ASSIGNED</w:t>
      </w:r>
      <w:r w:rsidRPr="3B336FFB">
        <w:rPr>
          <w:b/>
          <w:bCs/>
        </w:rPr>
        <w:t>?</w:t>
      </w:r>
    </w:p>
    <w:p w14:paraId="42FABC76" w14:textId="3991D1E9" w:rsidR="00691B22" w:rsidRDefault="00CF5F95" w:rsidP="4186EE6C">
      <w:pPr>
        <w:spacing w:line="480" w:lineRule="auto"/>
        <w:ind w:left="720" w:hanging="720"/>
        <w:jc w:val="both"/>
        <w:rPr>
          <w:b/>
          <w:bCs/>
        </w:rPr>
      </w:pPr>
      <w:r>
        <w:t>A.</w:t>
      </w:r>
      <w:r>
        <w:tab/>
      </w:r>
      <w:r w:rsidR="00E20DF2">
        <w:t>The</w:t>
      </w:r>
      <w:r w:rsidR="00BA4DE5">
        <w:t xml:space="preserve"> Regulatory</w:t>
      </w:r>
      <w:r w:rsidR="00F41E29">
        <w:t xml:space="preserve"> Services and Govern</w:t>
      </w:r>
      <w:r w:rsidR="00810120">
        <w:t>ment</w:t>
      </w:r>
      <w:r w:rsidR="00E20DF2">
        <w:t xml:space="preserve"> </w:t>
      </w:r>
      <w:r w:rsidR="1A1AD2AF">
        <w:t xml:space="preserve">Affairs </w:t>
      </w:r>
      <w:r w:rsidR="00E20DF2">
        <w:t xml:space="preserve">Department </w:t>
      </w:r>
      <w:r>
        <w:t xml:space="preserve">ensures that incurred costs are reasonable and necessary in </w:t>
      </w:r>
      <w:proofErr w:type="gramStart"/>
      <w:r>
        <w:t>a number of</w:t>
      </w:r>
      <w:proofErr w:type="gramEnd"/>
      <w:r>
        <w:t xml:space="preserve"> ways, including budgeting, and comparing and controlling labor costs.</w:t>
      </w:r>
      <w:r w:rsidRPr="3B336FFB">
        <w:rPr>
          <w:b/>
          <w:bCs/>
        </w:rPr>
        <w:t xml:space="preserve">  </w:t>
      </w:r>
      <w:r w:rsidR="00691B22">
        <w:t xml:space="preserve">The Regulatory Services and Government Affairs Department uses CNP’s annual budget process, described in the testimony of Mr. Storey, to determine expected expenditures for the coming year.  As part of this process, </w:t>
      </w:r>
      <w:r w:rsidR="00165E80">
        <w:t>CNP</w:t>
      </w:r>
      <w:r w:rsidR="00691B22">
        <w:t xml:space="preserve"> management reviews and approves the annual budget.  </w:t>
      </w:r>
      <w:r w:rsidR="00674738">
        <w:t xml:space="preserve">Actual expenditures throughout the year are compared to the budgeted amounts, and efforts are made to improve efficiency and effectiveness.  </w:t>
      </w:r>
      <w:r w:rsidR="00691B22">
        <w:t>Department leadership reviews and approves invoices and monitors actual expenditures against the budget each month.</w:t>
      </w:r>
      <w:r w:rsidR="00674738">
        <w:t xml:space="preserve">  Monthly forecasts of regulatory </w:t>
      </w:r>
      <w:r w:rsidR="00F14B59">
        <w:t>costs</w:t>
      </w:r>
      <w:r w:rsidR="00674738">
        <w:t xml:space="preserve"> are reviewed </w:t>
      </w:r>
      <w:r w:rsidR="1189EC94">
        <w:t xml:space="preserve">and compared to </w:t>
      </w:r>
      <w:bookmarkStart w:id="15" w:name="_Int_6ePeOqpQ"/>
      <w:r w:rsidR="1189EC94">
        <w:t>actuals</w:t>
      </w:r>
      <w:bookmarkEnd w:id="15"/>
      <w:r w:rsidR="1189EC94">
        <w:t xml:space="preserve"> </w:t>
      </w:r>
      <w:r w:rsidR="00674738">
        <w:t xml:space="preserve">by responsible employees as well as business unit owners.  In addition, expenses are tracked on a quarter-by-quarter and year-over-year basis to spot trends and opportunities for savings.  The Regulatory Services and Government Affairs Department’s budgeting process coupled with the monitoring process ensures that costs incurred by the department and thus billed to CenterPoint Houston are controlled, reasonable, and necessary.  </w:t>
      </w:r>
    </w:p>
    <w:p w14:paraId="2146F5FE" w14:textId="2E0757D8" w:rsidR="003605A8" w:rsidRPr="003605A8" w:rsidRDefault="3A2847BF" w:rsidP="1CCF50D0">
      <w:pPr>
        <w:spacing w:line="480" w:lineRule="auto"/>
        <w:ind w:left="720" w:firstLine="720"/>
        <w:jc w:val="both"/>
      </w:pPr>
      <w:r w:rsidRPr="00996FDC">
        <w:lastRenderedPageBreak/>
        <w:t xml:space="preserve">The </w:t>
      </w:r>
      <w:r w:rsidR="00BA4DE5">
        <w:t>Regu</w:t>
      </w:r>
      <w:r w:rsidR="00BA4DE5" w:rsidRPr="00996FDC">
        <w:t>latory</w:t>
      </w:r>
      <w:r w:rsidR="50CB17D4" w:rsidRPr="00996FDC">
        <w:t xml:space="preserve"> </w:t>
      </w:r>
      <w:r w:rsidR="691A3258" w:rsidRPr="00996FDC">
        <w:t>Services and Government Affairs'</w:t>
      </w:r>
      <w:r w:rsidR="00BA4DE5" w:rsidRPr="00996FDC">
        <w:t xml:space="preserve"> </w:t>
      </w:r>
      <w:r w:rsidR="00E20DF2" w:rsidRPr="00996FDC">
        <w:t xml:space="preserve">budget is established annually as part of CNP’s </w:t>
      </w:r>
      <w:r w:rsidR="00CF5F95" w:rsidRPr="00996FDC">
        <w:t xml:space="preserve">budget </w:t>
      </w:r>
      <w:r w:rsidR="00E20DF2" w:rsidRPr="00996FDC">
        <w:t xml:space="preserve">process.  Each year, in consultation with the various business units that </w:t>
      </w:r>
      <w:r w:rsidR="00BA4DE5" w:rsidRPr="00996FDC">
        <w:t>Regulatory</w:t>
      </w:r>
      <w:r w:rsidR="5E2000D8" w:rsidRPr="00996FDC">
        <w:t xml:space="preserve"> </w:t>
      </w:r>
      <w:r w:rsidR="7B3677A5" w:rsidRPr="00996FDC">
        <w:t xml:space="preserve">Services and Government </w:t>
      </w:r>
      <w:r w:rsidR="5E2000D8" w:rsidRPr="00996FDC">
        <w:t>Affairs</w:t>
      </w:r>
      <w:r w:rsidR="00E20DF2" w:rsidRPr="00996FDC">
        <w:t xml:space="preserve"> </w:t>
      </w:r>
      <w:bookmarkStart w:id="16" w:name="_Int_MLSB7dvT"/>
      <w:r w:rsidR="00E20DF2" w:rsidRPr="00996FDC">
        <w:t>supports</w:t>
      </w:r>
      <w:bookmarkEnd w:id="16"/>
      <w:r w:rsidR="00E20DF2" w:rsidRPr="00996FDC">
        <w:t xml:space="preserve">, the department identifies </w:t>
      </w:r>
      <w:r w:rsidR="6A1D0655" w:rsidRPr="00996FDC">
        <w:t>regulatory and government affair</w:t>
      </w:r>
      <w:r w:rsidR="57055E45" w:rsidRPr="00996FDC">
        <w:t>s</w:t>
      </w:r>
      <w:r w:rsidR="00E20DF2" w:rsidRPr="00996FDC">
        <w:t xml:space="preserve"> resources that are need</w:t>
      </w:r>
      <w:r w:rsidR="00A70D44" w:rsidRPr="00996FDC">
        <w:t>ed</w:t>
      </w:r>
      <w:r w:rsidR="00E20DF2" w:rsidRPr="00996FDC">
        <w:t xml:space="preserve"> to support the strategic objectives of the business.  Actual </w:t>
      </w:r>
      <w:r w:rsidR="00CF5F95" w:rsidRPr="00996FDC">
        <w:t xml:space="preserve">expenditures throughout the year </w:t>
      </w:r>
      <w:r w:rsidR="00E20DF2" w:rsidRPr="00996FDC">
        <w:t xml:space="preserve">are compared </w:t>
      </w:r>
      <w:r w:rsidR="00CF5F95" w:rsidRPr="00996FDC">
        <w:t xml:space="preserve">to the budgeted amounts, and efforts are made to improve efficiency and effectiveness.  Monthly forecasts of </w:t>
      </w:r>
      <w:r w:rsidR="00BA4DE5" w:rsidRPr="00996FDC">
        <w:t>regulatory</w:t>
      </w:r>
      <w:r w:rsidR="00CF5F95" w:rsidRPr="00996FDC">
        <w:t xml:space="preserve"> fees by sub-function </w:t>
      </w:r>
      <w:r w:rsidR="00AC50BA" w:rsidRPr="00996FDC">
        <w:t>are</w:t>
      </w:r>
      <w:r w:rsidR="00CF5F95" w:rsidRPr="00996FDC">
        <w:t xml:space="preserve"> performed and roll</w:t>
      </w:r>
      <w:r w:rsidR="005A14FA" w:rsidRPr="00996FDC">
        <w:t>ed</w:t>
      </w:r>
      <w:r w:rsidR="00CF5F95" w:rsidRPr="00996FDC">
        <w:t xml:space="preserve"> up to business units.  These forecasts are reviewed by responsible </w:t>
      </w:r>
      <w:r w:rsidR="00BA4DE5" w:rsidRPr="00996FDC">
        <w:t xml:space="preserve">employees </w:t>
      </w:r>
      <w:r w:rsidR="00CF5F95" w:rsidRPr="00996FDC">
        <w:t xml:space="preserve">as well as business unit owners.  In addition, </w:t>
      </w:r>
      <w:r w:rsidR="6486973C" w:rsidRPr="00996FDC">
        <w:t>regulatory</w:t>
      </w:r>
      <w:r w:rsidR="00CF5F95" w:rsidRPr="00996FDC">
        <w:t xml:space="preserve"> expenses are tracked on a quarter-by-quarter and year-over-year basis to spot trends and opportunities for savings.  The </w:t>
      </w:r>
      <w:r w:rsidR="00BA4DE5" w:rsidRPr="00996FDC">
        <w:t xml:space="preserve">Regulatory </w:t>
      </w:r>
      <w:r w:rsidR="70A77820" w:rsidRPr="00996FDC">
        <w:t xml:space="preserve">Services and Government </w:t>
      </w:r>
      <w:r w:rsidR="27FBF274" w:rsidRPr="00996FDC">
        <w:t xml:space="preserve">Affairs </w:t>
      </w:r>
      <w:r w:rsidR="00CF5F95" w:rsidRPr="00996FDC">
        <w:t>Department’s budgeting process</w:t>
      </w:r>
      <w:r w:rsidR="21588126" w:rsidRPr="00996FDC">
        <w:t>,</w:t>
      </w:r>
      <w:r w:rsidR="00CF5F95" w:rsidRPr="00996FDC">
        <w:t xml:space="preserve"> coupled with the monitoring process</w:t>
      </w:r>
      <w:r w:rsidR="55405C98" w:rsidRPr="00996FDC">
        <w:t>,</w:t>
      </w:r>
      <w:r w:rsidR="00CF5F95" w:rsidRPr="00996FDC">
        <w:t xml:space="preserve"> ensures that costs incurred by the </w:t>
      </w:r>
      <w:r w:rsidR="00BA4DE5" w:rsidRPr="00996FDC">
        <w:t xml:space="preserve">Regulatory </w:t>
      </w:r>
      <w:r w:rsidR="4B4BB950" w:rsidRPr="00996FDC">
        <w:t xml:space="preserve">Services and Government </w:t>
      </w:r>
      <w:r w:rsidR="2518FE11" w:rsidRPr="00996FDC">
        <w:t xml:space="preserve">Affairs </w:t>
      </w:r>
      <w:r w:rsidR="00CF5F95" w:rsidRPr="00996FDC">
        <w:t>Department and thus billed to CenterPoint Houston are contro</w:t>
      </w:r>
      <w:r w:rsidR="00CF5F95">
        <w:t xml:space="preserve">lled, reasonable, and necessary.  </w:t>
      </w:r>
    </w:p>
    <w:p w14:paraId="4CA9D874" w14:textId="76B6DC41" w:rsidR="00CF5F95" w:rsidRPr="008F5F33" w:rsidRDefault="00CF5F95" w:rsidP="1CCF50D0">
      <w:pPr>
        <w:spacing w:line="480" w:lineRule="auto"/>
        <w:ind w:left="720" w:firstLine="720"/>
        <w:jc w:val="both"/>
        <w:rPr>
          <w:b/>
          <w:bCs/>
        </w:rPr>
      </w:pPr>
      <w:r w:rsidRPr="1CCF50D0">
        <w:rPr>
          <w:b/>
          <w:bCs/>
        </w:rPr>
        <w:t xml:space="preserve">Matter Management Software.  </w:t>
      </w:r>
      <w:r>
        <w:t xml:space="preserve">In addition to budgeting, the </w:t>
      </w:r>
      <w:r w:rsidR="00BA4DE5">
        <w:t>Regulatory</w:t>
      </w:r>
      <w:r w:rsidR="00683BD6">
        <w:noBreakHyphen/>
      </w:r>
      <w:r w:rsidR="00FC5007">
        <w:t xml:space="preserve">Legal </w:t>
      </w:r>
      <w:r>
        <w:t xml:space="preserve">uses a matter management system, </w:t>
      </w:r>
      <w:r w:rsidR="000E2030">
        <w:t>Passport</w:t>
      </w:r>
      <w:r>
        <w:t xml:space="preserve"> (formerly </w:t>
      </w:r>
      <w:proofErr w:type="spellStart"/>
      <w:r>
        <w:t>TeamConnect</w:t>
      </w:r>
      <w:proofErr w:type="spellEnd"/>
      <w:r>
        <w:t xml:space="preserve">), to track cases and files and associated expenses.  Using these systems, attorneys can access </w:t>
      </w:r>
      <w:r w:rsidR="00893313">
        <w:t xml:space="preserve">various information about </w:t>
      </w:r>
      <w:bookmarkStart w:id="17" w:name="_Int_o4o7wgOG"/>
      <w:proofErr w:type="gramStart"/>
      <w:r w:rsidR="00893313">
        <w:t>particular matters</w:t>
      </w:r>
      <w:bookmarkEnd w:id="17"/>
      <w:proofErr w:type="gramEnd"/>
      <w:r w:rsidR="00893313">
        <w:t xml:space="preserve"> and invoices</w:t>
      </w:r>
      <w:r>
        <w:t>, view billing guidelines and</w:t>
      </w:r>
      <w:r w:rsidR="00FC5007">
        <w:t xml:space="preserve"> </w:t>
      </w:r>
      <w:r w:rsidR="00893313">
        <w:t>view</w:t>
      </w:r>
      <w:r>
        <w:t xml:space="preserve"> approved timekeepers </w:t>
      </w:r>
      <w:r w:rsidR="00893313">
        <w:t xml:space="preserve">and rates </w:t>
      </w:r>
      <w:r>
        <w:t xml:space="preserve">for a matter, verify that billing rates charged by outside counsel have previously been approved, </w:t>
      </w:r>
      <w:r w:rsidR="00893313">
        <w:t xml:space="preserve">assess compliance with our Outside Counsel Guidelines and other expectations, </w:t>
      </w:r>
      <w:r>
        <w:t xml:space="preserve">and approve or reject invoices.  Outside counsel must obtain approval </w:t>
      </w:r>
      <w:r>
        <w:lastRenderedPageBreak/>
        <w:t>before adding new timekeepers to a matter, and any such changes are reflected in the system.  The system also facilitates review of legal invoices by flagging billing entries that may be duplicative or incorrect.</w:t>
      </w:r>
    </w:p>
    <w:p w14:paraId="2AE1AAEA" w14:textId="514407EC" w:rsidR="00CF5F95" w:rsidRPr="008722E7" w:rsidRDefault="00CF5F95" w:rsidP="1CCF50D0">
      <w:pPr>
        <w:spacing w:line="480" w:lineRule="auto"/>
        <w:ind w:left="720" w:firstLine="720"/>
        <w:jc w:val="both"/>
        <w:rPr>
          <w:b/>
        </w:rPr>
      </w:pPr>
      <w:r w:rsidRPr="1CCF50D0">
        <w:rPr>
          <w:i/>
          <w:iCs/>
        </w:rPr>
        <w:t xml:space="preserve">  </w:t>
      </w:r>
      <w:r>
        <w:t>A</w:t>
      </w:r>
      <w:r w:rsidR="000E7DF7">
        <w:t>dditionally, a</w:t>
      </w:r>
      <w:r>
        <w:t xml:space="preserve">s discussed in the direct testimony of Company witness </w:t>
      </w:r>
      <w:r w:rsidR="00794635">
        <w:t>Bertha Villatoro</w:t>
      </w:r>
      <w:r>
        <w:t>, the Compensation Section of the Human Resources Department regularly evaluates salary levels for employees</w:t>
      </w:r>
      <w:r w:rsidR="00200FBC">
        <w:t>, including</w:t>
      </w:r>
      <w:r>
        <w:t xml:space="preserve"> </w:t>
      </w:r>
      <w:r w:rsidR="00200FBC">
        <w:t xml:space="preserve">Regulatory Services and Government Affairs employees, </w:t>
      </w:r>
      <w:r>
        <w:t xml:space="preserve">based on published indices and benchmarking studies </w:t>
      </w:r>
      <w:bookmarkStart w:id="18" w:name="_Int_xDxNO8TY"/>
      <w:proofErr w:type="gramStart"/>
      <w:r>
        <w:t>in order to</w:t>
      </w:r>
      <w:bookmarkEnd w:id="18"/>
      <w:proofErr w:type="gramEnd"/>
      <w:r>
        <w:t xml:space="preserve"> ensure that these costs remain reasonable and necessary. </w:t>
      </w:r>
    </w:p>
    <w:p w14:paraId="06181E3A" w14:textId="260919B7" w:rsidR="005C4EB9" w:rsidRPr="008F5F33" w:rsidRDefault="005C4EB9" w:rsidP="005C4EB9">
      <w:pPr>
        <w:spacing w:line="480" w:lineRule="auto"/>
        <w:ind w:left="720" w:hanging="720"/>
        <w:jc w:val="both"/>
        <w:rPr>
          <w:b/>
          <w:bCs/>
        </w:rPr>
      </w:pPr>
      <w:r w:rsidRPr="1CCF50D0">
        <w:rPr>
          <w:b/>
          <w:bCs/>
        </w:rPr>
        <w:t>Q.</w:t>
      </w:r>
      <w:r>
        <w:tab/>
      </w:r>
      <w:r w:rsidRPr="1CCF50D0">
        <w:rPr>
          <w:b/>
          <w:bCs/>
        </w:rPr>
        <w:t>DOES THE REGULATORY</w:t>
      </w:r>
      <w:r w:rsidR="002052CD">
        <w:rPr>
          <w:b/>
          <w:bCs/>
        </w:rPr>
        <w:t xml:space="preserve"> LEGAL GROUP</w:t>
      </w:r>
      <w:r w:rsidRPr="1CCF50D0">
        <w:rPr>
          <w:b/>
          <w:bCs/>
        </w:rPr>
        <w:t xml:space="preserve"> </w:t>
      </w:r>
      <w:r>
        <w:rPr>
          <w:b/>
          <w:bCs/>
        </w:rPr>
        <w:t xml:space="preserve">RETAIN AND </w:t>
      </w:r>
      <w:r w:rsidRPr="1CCF50D0">
        <w:rPr>
          <w:b/>
          <w:bCs/>
        </w:rPr>
        <w:t>MANAGE OUTSIDE COUNSEL</w:t>
      </w:r>
      <w:r>
        <w:rPr>
          <w:b/>
          <w:bCs/>
        </w:rPr>
        <w:t>?</w:t>
      </w:r>
    </w:p>
    <w:p w14:paraId="015E8C70" w14:textId="35271BB1" w:rsidR="005C4EB9" w:rsidRDefault="005C4EB9" w:rsidP="005C4EB9">
      <w:pPr>
        <w:spacing w:line="480" w:lineRule="auto"/>
        <w:ind w:left="720" w:hanging="720"/>
        <w:jc w:val="both"/>
        <w:rPr>
          <w:b/>
          <w:bCs/>
        </w:rPr>
      </w:pPr>
      <w:r>
        <w:t>A.</w:t>
      </w:r>
      <w:r>
        <w:tab/>
        <w:t xml:space="preserve">Yes.  </w:t>
      </w:r>
    </w:p>
    <w:p w14:paraId="5A6C3FA1" w14:textId="5F02A09E" w:rsidR="00E20DF2" w:rsidRPr="008F5F33" w:rsidRDefault="00E20DF2" w:rsidP="1CCF50D0">
      <w:pPr>
        <w:spacing w:line="480" w:lineRule="auto"/>
        <w:ind w:left="720" w:hanging="720"/>
        <w:jc w:val="both"/>
        <w:rPr>
          <w:b/>
          <w:bCs/>
        </w:rPr>
      </w:pPr>
      <w:r w:rsidRPr="1CCF50D0">
        <w:rPr>
          <w:b/>
          <w:bCs/>
        </w:rPr>
        <w:t>Q.</w:t>
      </w:r>
      <w:r>
        <w:tab/>
      </w:r>
      <w:r w:rsidRPr="1CCF50D0">
        <w:rPr>
          <w:b/>
          <w:bCs/>
        </w:rPr>
        <w:t xml:space="preserve">HOW DOES THE </w:t>
      </w:r>
      <w:r w:rsidR="00BA4DE5" w:rsidRPr="1CCF50D0">
        <w:rPr>
          <w:b/>
          <w:bCs/>
        </w:rPr>
        <w:t xml:space="preserve">REGULATORY </w:t>
      </w:r>
      <w:r w:rsidR="002052CD">
        <w:rPr>
          <w:b/>
          <w:bCs/>
        </w:rPr>
        <w:t>LEGAL GROUP</w:t>
      </w:r>
      <w:r w:rsidRPr="1CCF50D0">
        <w:rPr>
          <w:b/>
          <w:bCs/>
        </w:rPr>
        <w:t xml:space="preserve"> MANAGE OUTSIDE COUNSEL TO ENSURE THAT THEIR CHARGES FOR LEGAL SERVICES ARE REASONABLE AND NECESSARY?</w:t>
      </w:r>
    </w:p>
    <w:p w14:paraId="05D1EA25" w14:textId="722FE997" w:rsidR="00E20DF2" w:rsidRDefault="00E20DF2" w:rsidP="00E20DF2">
      <w:pPr>
        <w:spacing w:line="480" w:lineRule="auto"/>
        <w:ind w:left="720" w:hanging="720"/>
        <w:jc w:val="both"/>
      </w:pPr>
      <w:r>
        <w:t>A.</w:t>
      </w:r>
      <w:r>
        <w:tab/>
      </w:r>
      <w:proofErr w:type="gramStart"/>
      <w:r w:rsidR="00CC5635">
        <w:t>Similar to</w:t>
      </w:r>
      <w:proofErr w:type="gramEnd"/>
      <w:r w:rsidR="00CC5635">
        <w:t xml:space="preserve"> the </w:t>
      </w:r>
      <w:r w:rsidR="00581ED9">
        <w:t>Legal Department</w:t>
      </w:r>
      <w:r w:rsidR="00DB2F80">
        <w:t>, t</w:t>
      </w:r>
      <w:r w:rsidR="00441DFE">
        <w:t xml:space="preserve">he in-house attorneys </w:t>
      </w:r>
      <w:r w:rsidR="00691965">
        <w:t>within</w:t>
      </w:r>
      <w:r w:rsidR="00441DFE">
        <w:t xml:space="preserve"> the </w:t>
      </w:r>
      <w:r w:rsidR="00067880">
        <w:t>Regulatory Legal group</w:t>
      </w:r>
      <w:r w:rsidR="00441DFE">
        <w:t xml:space="preserve"> </w:t>
      </w:r>
      <w:r w:rsidR="00CA1026">
        <w:t xml:space="preserve">in the Regulatory </w:t>
      </w:r>
      <w:r w:rsidR="17BB7C5B">
        <w:t xml:space="preserve">Services and Government </w:t>
      </w:r>
      <w:r w:rsidR="00441DFE">
        <w:t>Affairs Department</w:t>
      </w:r>
      <w:r w:rsidR="00FD5839">
        <w:t xml:space="preserve"> review outside counsel costs </w:t>
      </w:r>
      <w:r w:rsidR="00205C76">
        <w:t>for compliance with</w:t>
      </w:r>
      <w:r>
        <w:t xml:space="preserve"> a variety of practices, policies, and procedures.  First, </w:t>
      </w:r>
      <w:r w:rsidR="001D23BD">
        <w:t>t</w:t>
      </w:r>
      <w:r>
        <w:t xml:space="preserve">he </w:t>
      </w:r>
      <w:r w:rsidR="00982D0B">
        <w:t xml:space="preserve">in-house attorneys </w:t>
      </w:r>
      <w:r w:rsidR="00D3261F">
        <w:t xml:space="preserve">require that </w:t>
      </w:r>
      <w:r w:rsidR="004A0DFF">
        <w:t xml:space="preserve">outside counsel provide the most cost-effective service by </w:t>
      </w:r>
      <w:r>
        <w:t>reduc</w:t>
      </w:r>
      <w:r w:rsidR="004A0DFF">
        <w:t>ing</w:t>
      </w:r>
      <w:r>
        <w:t xml:space="preserve"> the number of outside law firms retained to perform legal work </w:t>
      </w:r>
      <w:proofErr w:type="gramStart"/>
      <w:r>
        <w:t>in order to</w:t>
      </w:r>
      <w:proofErr w:type="gramEnd"/>
      <w:r>
        <w:t xml:space="preserve"> leverage our spend and more effectively manage our firms</w:t>
      </w:r>
      <w:r w:rsidR="004A0DFF">
        <w:t>, pushing work to lower costs firms, or spreading work among firms</w:t>
      </w:r>
      <w:r w:rsidR="009F2EDD">
        <w:t xml:space="preserve"> to ensure competition and appropriate expertise</w:t>
      </w:r>
      <w:r w:rsidR="004A0DFF">
        <w:t>, as appropriate to the particular matter or types of matters</w:t>
      </w:r>
      <w:r w:rsidR="00C17B28">
        <w:t>.</w:t>
      </w:r>
      <w:r w:rsidR="00C019F1">
        <w:t xml:space="preserve">  The in-house </w:t>
      </w:r>
      <w:r w:rsidR="00C019F1" w:rsidRPr="00996FDC">
        <w:t xml:space="preserve">attorneys </w:t>
      </w:r>
      <w:r w:rsidR="45323D32" w:rsidRPr="00996FDC">
        <w:t xml:space="preserve">in the Regulatory Legal group </w:t>
      </w:r>
      <w:r w:rsidR="00146E00" w:rsidRPr="00996FDC">
        <w:t>ha</w:t>
      </w:r>
      <w:r w:rsidR="00146E00">
        <w:t xml:space="preserve">ve </w:t>
      </w:r>
      <w:r w:rsidR="00146E00">
        <w:lastRenderedPageBreak/>
        <w:t xml:space="preserve">experience and </w:t>
      </w:r>
      <w:r w:rsidR="00C019F1">
        <w:t xml:space="preserve">are familiar with the type of legal work for which they select outside counsel and review bills.  </w:t>
      </w:r>
    </w:p>
    <w:p w14:paraId="61103B12" w14:textId="011F7806" w:rsidR="00E20DF2" w:rsidRDefault="00E20DF2" w:rsidP="00E20DF2">
      <w:pPr>
        <w:spacing w:line="480" w:lineRule="auto"/>
        <w:ind w:left="720" w:firstLine="720"/>
        <w:jc w:val="both"/>
      </w:pPr>
      <w:r>
        <w:t xml:space="preserve">Second, </w:t>
      </w:r>
      <w:r w:rsidR="0BA6B646">
        <w:t>the</w:t>
      </w:r>
      <w:r>
        <w:t xml:space="preserve"> in-house lawyers </w:t>
      </w:r>
      <w:r w:rsidR="2729EAF0">
        <w:t xml:space="preserve">within </w:t>
      </w:r>
      <w:r w:rsidR="00C17B28">
        <w:t xml:space="preserve">the </w:t>
      </w:r>
      <w:r w:rsidR="2729EAF0">
        <w:t xml:space="preserve">Regulatory </w:t>
      </w:r>
      <w:r w:rsidR="00691965">
        <w:t xml:space="preserve">Legal group of </w:t>
      </w:r>
      <w:r w:rsidR="00C17B28">
        <w:t xml:space="preserve">the </w:t>
      </w:r>
      <w:r w:rsidR="2729EAF0">
        <w:t>Regulatory Services and Government Affairs</w:t>
      </w:r>
      <w:r>
        <w:t xml:space="preserve"> </w:t>
      </w:r>
      <w:r w:rsidR="00C17B28">
        <w:t xml:space="preserve">Department </w:t>
      </w:r>
      <w:r>
        <w:t xml:space="preserve">are expected to manage their matters and outside lawyers directly and effectively to ensure </w:t>
      </w:r>
      <w:r w:rsidR="009132AF">
        <w:t xml:space="preserve">the execution of </w:t>
      </w:r>
      <w:r w:rsidR="00067880">
        <w:t xml:space="preserve">the Company’s </w:t>
      </w:r>
      <w:r>
        <w:t>strategy</w:t>
      </w:r>
      <w:r w:rsidR="009132AF">
        <w:t>, that</w:t>
      </w:r>
      <w:r>
        <w:t xml:space="preserve"> expectations are being met</w:t>
      </w:r>
      <w:r w:rsidR="009132AF">
        <w:t>,</w:t>
      </w:r>
      <w:r>
        <w:t xml:space="preserve"> and that </w:t>
      </w:r>
      <w:bookmarkStart w:id="19" w:name="_Int_T9wtygRe"/>
      <w:proofErr w:type="gramStart"/>
      <w:r>
        <w:t>work</w:t>
      </w:r>
      <w:bookmarkEnd w:id="19"/>
      <w:proofErr w:type="gramEnd"/>
      <w:r>
        <w:t xml:space="preserve"> and costs are reasonable.  </w:t>
      </w:r>
      <w:r w:rsidR="00B526AF">
        <w:t xml:space="preserve">The </w:t>
      </w:r>
      <w:r w:rsidR="00067880">
        <w:t>in-house lawyers in</w:t>
      </w:r>
      <w:r w:rsidR="00B526AF">
        <w:t xml:space="preserve"> Regulatory Legal group use </w:t>
      </w:r>
      <w:r w:rsidR="009132AF">
        <w:t>the</w:t>
      </w:r>
      <w:r>
        <w:t xml:space="preserve"> </w:t>
      </w:r>
      <w:r w:rsidR="00067880">
        <w:t xml:space="preserve">same </w:t>
      </w:r>
      <w:r>
        <w:t xml:space="preserve">matter management system </w:t>
      </w:r>
      <w:r w:rsidR="000E2030">
        <w:t xml:space="preserve">(Passport) </w:t>
      </w:r>
      <w:r w:rsidR="004618EB">
        <w:t xml:space="preserve">described by </w:t>
      </w:r>
      <w:r w:rsidR="00067880">
        <w:t>Company witness M</w:t>
      </w:r>
      <w:r w:rsidR="00D128DD">
        <w:t>.</w:t>
      </w:r>
      <w:r w:rsidR="00067880">
        <w:t xml:space="preserve"> Shane</w:t>
      </w:r>
      <w:r w:rsidR="004618EB">
        <w:t xml:space="preserve"> Kimzey </w:t>
      </w:r>
      <w:r>
        <w:t xml:space="preserve">to ensure that invoices are properly reviewed </w:t>
      </w:r>
      <w:r w:rsidR="009562A0">
        <w:t>and</w:t>
      </w:r>
      <w:r>
        <w:t xml:space="preserve"> that charges are reasonable.  All fee statements from outside counsel are reviewed by </w:t>
      </w:r>
      <w:r w:rsidR="00067880">
        <w:t xml:space="preserve">the </w:t>
      </w:r>
      <w:r w:rsidR="0053792B">
        <w:t>in-house lawyers</w:t>
      </w:r>
      <w:r>
        <w:t xml:space="preserve">.  In reviewing bills, </w:t>
      </w:r>
      <w:r w:rsidR="00B35BB2">
        <w:t xml:space="preserve">in-house lawyers </w:t>
      </w:r>
      <w:r>
        <w:t xml:space="preserve">analyze not only the amount of time and the fees charged, but also the nature of the services and the quality of the work provided. </w:t>
      </w:r>
      <w:r w:rsidR="006A2F5D">
        <w:t xml:space="preserve"> </w:t>
      </w:r>
      <w:r>
        <w:t xml:space="preserve">This review </w:t>
      </w:r>
      <w:bookmarkStart w:id="20" w:name="_Int_cBR1MbfS"/>
      <w:r>
        <w:t>assures</w:t>
      </w:r>
      <w:bookmarkEnd w:id="20"/>
      <w:r>
        <w:t xml:space="preserve"> that payments are made only for services that were needed, that the fees charged </w:t>
      </w:r>
      <w:r w:rsidR="40F15271">
        <w:t>were</w:t>
      </w:r>
      <w:r>
        <w:t xml:space="preserve"> reasonable, and that costs for which reimbursement is sought were incurred in conjunction with the legal services rendered and were necessary.</w:t>
      </w:r>
    </w:p>
    <w:p w14:paraId="46B71321" w14:textId="1573DC5B" w:rsidR="00E20DF2" w:rsidRDefault="00E20DF2" w:rsidP="00E20DF2">
      <w:pPr>
        <w:spacing w:line="480" w:lineRule="auto"/>
        <w:ind w:left="720" w:firstLine="720"/>
        <w:jc w:val="both"/>
      </w:pPr>
      <w:r>
        <w:t xml:space="preserve">Third, the </w:t>
      </w:r>
      <w:r w:rsidR="00B35BB2">
        <w:t xml:space="preserve">in-house lawyers within the Regulatory </w:t>
      </w:r>
      <w:r w:rsidR="00BE0E6D">
        <w:t>Legal group in</w:t>
      </w:r>
      <w:r w:rsidR="00B35BB2">
        <w:t xml:space="preserve"> the Regulatory </w:t>
      </w:r>
      <w:r w:rsidR="62FA1D71">
        <w:t xml:space="preserve">Services and Government </w:t>
      </w:r>
      <w:r w:rsidR="00B35BB2">
        <w:t xml:space="preserve">Affairs Department </w:t>
      </w:r>
      <w:r w:rsidR="00ED30C8">
        <w:t>monitor outside counsel to ensure that outside counsel comply with the CNP Legal Department’s policies</w:t>
      </w:r>
      <w:r w:rsidDel="00ED30C8">
        <w:t xml:space="preserve"> </w:t>
      </w:r>
      <w:r>
        <w:t xml:space="preserve">related to billing, staffing of matters, non-permitted charges, etc.  Moreover, </w:t>
      </w:r>
      <w:r w:rsidR="001906FA">
        <w:t>like the CNP Legal Department</w:t>
      </w:r>
      <w:r>
        <w:t xml:space="preserve">, the </w:t>
      </w:r>
      <w:r w:rsidR="008552ED">
        <w:t xml:space="preserve">Regulatory </w:t>
      </w:r>
      <w:r w:rsidR="349BF2FE">
        <w:t xml:space="preserve">Services and Government </w:t>
      </w:r>
      <w:r w:rsidR="008552ED">
        <w:t>Affairs</w:t>
      </w:r>
      <w:r>
        <w:t xml:space="preserve"> Department does not allow law firms to raise rates on an annual basis, as many firms do, without first obtaining approval.  </w:t>
      </w:r>
    </w:p>
    <w:p w14:paraId="7AA4C4D8" w14:textId="1116A811" w:rsidR="00BA4DE5" w:rsidRPr="001677E3" w:rsidRDefault="00BA4DE5" w:rsidP="008552ED">
      <w:pPr>
        <w:spacing w:line="480" w:lineRule="auto"/>
        <w:ind w:left="720" w:hanging="720"/>
        <w:jc w:val="both"/>
        <w:rPr>
          <w:b/>
        </w:rPr>
      </w:pPr>
      <w:r w:rsidRPr="001677E3">
        <w:rPr>
          <w:b/>
        </w:rPr>
        <w:lastRenderedPageBreak/>
        <w:t>Q.</w:t>
      </w:r>
      <w:r w:rsidR="008552ED">
        <w:tab/>
      </w:r>
      <w:r w:rsidRPr="4DAC81F5">
        <w:rPr>
          <w:b/>
        </w:rPr>
        <w:t xml:space="preserve">WHAT PROCESSES ARE IN PLACE TO ENSURE THAT THE COSTS INCURRED BY THE REGULATORY </w:t>
      </w:r>
      <w:r w:rsidR="1DADE78B" w:rsidRPr="3FB704F8">
        <w:rPr>
          <w:b/>
          <w:bCs/>
        </w:rPr>
        <w:t xml:space="preserve">SERVICES AND GOVERNMENT </w:t>
      </w:r>
      <w:r w:rsidRPr="001677E3">
        <w:rPr>
          <w:b/>
        </w:rPr>
        <w:t>AFFAIRS DEPARTMENT ARE REASONABLE AND NECESSARY?</w:t>
      </w:r>
    </w:p>
    <w:p w14:paraId="245DD828" w14:textId="116388F5" w:rsidR="00CF5F95" w:rsidRPr="00692BA9" w:rsidRDefault="00BA4DE5" w:rsidP="00692BA9">
      <w:pPr>
        <w:spacing w:line="480" w:lineRule="auto"/>
        <w:ind w:left="720" w:hanging="720"/>
        <w:jc w:val="both"/>
      </w:pPr>
      <w:r>
        <w:t>A.</w:t>
      </w:r>
      <w:r w:rsidR="00E61D42">
        <w:tab/>
      </w:r>
      <w:r w:rsidR="001677E3">
        <w:t>The</w:t>
      </w:r>
      <w:r w:rsidDel="008552ED">
        <w:t xml:space="preserve"> </w:t>
      </w:r>
      <w:r>
        <w:t xml:space="preserve">Regulatory </w:t>
      </w:r>
      <w:r w:rsidR="60C9D591">
        <w:t xml:space="preserve">Services and </w:t>
      </w:r>
      <w:r w:rsidR="001677E3">
        <w:t>Government</w:t>
      </w:r>
      <w:r w:rsidR="60C9D591">
        <w:t xml:space="preserve"> </w:t>
      </w:r>
      <w:r>
        <w:t>Affairs</w:t>
      </w:r>
      <w:r w:rsidR="001677E3">
        <w:t xml:space="preserve"> Department</w:t>
      </w:r>
      <w:r>
        <w:t xml:space="preserve"> prepares an annual budget and compares actual expenditures throughout the year to budgeted amounts</w:t>
      </w:r>
      <w:r w:rsidR="00692BA9">
        <w:t>.  As set out in the testimony of Bertha Villatoro,</w:t>
      </w:r>
      <w:r>
        <w:t xml:space="preserve"> the Human Resources Department evaluates salary levels for these employees based on published indices and benchmarking studies </w:t>
      </w:r>
      <w:proofErr w:type="gramStart"/>
      <w:r>
        <w:t>in order to</w:t>
      </w:r>
      <w:proofErr w:type="gramEnd"/>
      <w:r>
        <w:t xml:space="preserve"> ensure that these costs remain reasonable and necessary.</w:t>
      </w:r>
    </w:p>
    <w:p w14:paraId="4CEBCAA4" w14:textId="7F05D315" w:rsidR="008F52AD" w:rsidRPr="00B72D0F" w:rsidRDefault="008F52AD" w:rsidP="1CCF50D0">
      <w:pPr>
        <w:spacing w:line="480" w:lineRule="auto"/>
        <w:ind w:left="720" w:hanging="720"/>
        <w:jc w:val="both"/>
        <w:rPr>
          <w:b/>
          <w:bCs/>
        </w:rPr>
      </w:pPr>
      <w:r w:rsidRPr="1CCF50D0">
        <w:rPr>
          <w:b/>
          <w:bCs/>
        </w:rPr>
        <w:t>Q.</w:t>
      </w:r>
      <w:r>
        <w:tab/>
      </w:r>
      <w:r w:rsidRPr="1CCF50D0">
        <w:rPr>
          <w:b/>
          <w:bCs/>
        </w:rPr>
        <w:t xml:space="preserve">DOES CENTERPOINT HOUSTON PAY HIGHER RATES FOR </w:t>
      </w:r>
      <w:r w:rsidR="00BA4DE5" w:rsidRPr="1CCF50D0">
        <w:rPr>
          <w:b/>
          <w:bCs/>
        </w:rPr>
        <w:t>REGULATORY</w:t>
      </w:r>
      <w:r w:rsidR="62ADF2F3" w:rsidRPr="00692BA9">
        <w:rPr>
          <w:rFonts w:ascii="Times New Roman Bold" w:hAnsi="Times New Roman Bold"/>
          <w:b/>
          <w:caps/>
        </w:rPr>
        <w:t xml:space="preserve"> </w:t>
      </w:r>
      <w:r w:rsidR="0021546B" w:rsidRPr="00692BA9">
        <w:rPr>
          <w:rFonts w:ascii="Times New Roman Bold" w:hAnsi="Times New Roman Bold"/>
          <w:b/>
          <w:caps/>
        </w:rPr>
        <w:t xml:space="preserve">Services and Government </w:t>
      </w:r>
      <w:r w:rsidR="62ADF2F3" w:rsidRPr="1CCF50D0">
        <w:rPr>
          <w:b/>
          <w:bCs/>
        </w:rPr>
        <w:t>AFFAIRS</w:t>
      </w:r>
      <w:r w:rsidR="00BA4DE5" w:rsidRPr="1CCF50D0">
        <w:rPr>
          <w:b/>
          <w:bCs/>
        </w:rPr>
        <w:t xml:space="preserve"> </w:t>
      </w:r>
      <w:r w:rsidRPr="1CCF50D0">
        <w:rPr>
          <w:b/>
          <w:bCs/>
        </w:rPr>
        <w:t xml:space="preserve">SERVICES THAN OTHER BUSINESS UNITS OR AFFILIATES?  </w:t>
      </w:r>
    </w:p>
    <w:p w14:paraId="17B70ED7" w14:textId="420172CC" w:rsidR="003C34AD" w:rsidRDefault="008F52AD" w:rsidP="008F52AD">
      <w:pPr>
        <w:spacing w:line="480" w:lineRule="auto"/>
        <w:jc w:val="both"/>
        <w:rPr>
          <w:szCs w:val="24"/>
        </w:rPr>
      </w:pPr>
      <w:r w:rsidRPr="008F52AD">
        <w:rPr>
          <w:szCs w:val="24"/>
        </w:rPr>
        <w:t>A.</w:t>
      </w:r>
      <w:r w:rsidRPr="008F52AD">
        <w:rPr>
          <w:szCs w:val="24"/>
        </w:rPr>
        <w:tab/>
        <w:t xml:space="preserve">No.  </w:t>
      </w:r>
    </w:p>
    <w:p w14:paraId="1E5EEA73" w14:textId="12C2ACC8" w:rsidR="00CB5152" w:rsidRPr="00CB5152" w:rsidRDefault="00CB5152" w:rsidP="1CCF50D0">
      <w:pPr>
        <w:spacing w:line="480" w:lineRule="auto"/>
        <w:ind w:left="720" w:hanging="720"/>
        <w:jc w:val="both"/>
        <w:rPr>
          <w:b/>
          <w:bCs/>
        </w:rPr>
      </w:pPr>
      <w:r w:rsidRPr="1CCF50D0">
        <w:rPr>
          <w:b/>
          <w:bCs/>
        </w:rPr>
        <w:t>Q.</w:t>
      </w:r>
      <w:r>
        <w:tab/>
      </w:r>
      <w:r w:rsidRPr="1CCF50D0">
        <w:rPr>
          <w:b/>
          <w:bCs/>
        </w:rPr>
        <w:t xml:space="preserve">WAS IT REASONABLE AND NECESSARY FOR CENTERPOINT HOUSTON TO USE </w:t>
      </w:r>
      <w:r w:rsidR="00BA4DE5" w:rsidRPr="1CCF50D0">
        <w:rPr>
          <w:b/>
          <w:bCs/>
        </w:rPr>
        <w:t xml:space="preserve">REGULATORY </w:t>
      </w:r>
      <w:r w:rsidR="0021546B">
        <w:rPr>
          <w:b/>
          <w:bCs/>
        </w:rPr>
        <w:t xml:space="preserve">SERVICES AND GOVERNMENT </w:t>
      </w:r>
      <w:r w:rsidR="1028AD23" w:rsidRPr="1CCF50D0">
        <w:rPr>
          <w:b/>
          <w:bCs/>
        </w:rPr>
        <w:t xml:space="preserve">AFFAIRS </w:t>
      </w:r>
      <w:r w:rsidRPr="1CCF50D0">
        <w:rPr>
          <w:b/>
          <w:bCs/>
        </w:rPr>
        <w:t>CORPORATE SERVICES DURING THE TEST YEAR?</w:t>
      </w:r>
    </w:p>
    <w:p w14:paraId="02A32289" w14:textId="723959D0" w:rsidR="00CB5152" w:rsidRPr="003C34AD" w:rsidRDefault="00CB5152" w:rsidP="1CCF50D0">
      <w:pPr>
        <w:spacing w:line="480" w:lineRule="auto"/>
        <w:ind w:left="720" w:hanging="720"/>
        <w:jc w:val="both"/>
      </w:pPr>
      <w:r>
        <w:t>A.</w:t>
      </w:r>
      <w:r>
        <w:tab/>
        <w:t xml:space="preserve">Yes. </w:t>
      </w:r>
      <w:r w:rsidR="009604DD">
        <w:t xml:space="preserve">The services provided by the </w:t>
      </w:r>
      <w:r w:rsidR="00BA4DE5">
        <w:t>Regulatory</w:t>
      </w:r>
      <w:r w:rsidR="5E921E38">
        <w:t xml:space="preserve"> </w:t>
      </w:r>
      <w:r w:rsidR="0021546B">
        <w:t xml:space="preserve">Services and Government </w:t>
      </w:r>
      <w:r w:rsidR="5E921E38">
        <w:t>Affairs</w:t>
      </w:r>
      <w:r w:rsidR="009604DD">
        <w:t xml:space="preserve"> Department</w:t>
      </w:r>
      <w:r w:rsidDel="00CB5152">
        <w:t xml:space="preserve"> </w:t>
      </w:r>
      <w:r>
        <w:t xml:space="preserve">are reasonable and necessary to the Company’s operation.  CenterPoint Houston received the benefit of sharing staff that could perform </w:t>
      </w:r>
      <w:r w:rsidR="00BA4DE5">
        <w:t xml:space="preserve">regulatory </w:t>
      </w:r>
      <w:r w:rsidR="0021546B">
        <w:t>work</w:t>
      </w:r>
      <w:r>
        <w:t xml:space="preserve"> without having to hire </w:t>
      </w:r>
      <w:bookmarkStart w:id="21" w:name="_Int_z2KuPRPn"/>
      <w:r>
        <w:t>a full</w:t>
      </w:r>
      <w:bookmarkEnd w:id="21"/>
      <w:r>
        <w:t>-time staff.</w:t>
      </w:r>
    </w:p>
    <w:p w14:paraId="17CD8AD0" w14:textId="372FA6F3" w:rsidR="00827784" w:rsidRPr="00635521" w:rsidDel="00893313" w:rsidRDefault="00635521" w:rsidP="007B5205">
      <w:pPr>
        <w:pStyle w:val="CROutline1"/>
        <w:keepNext/>
        <w:numPr>
          <w:ilvl w:val="0"/>
          <w:numId w:val="6"/>
        </w:numPr>
      </w:pPr>
      <w:bookmarkStart w:id="22" w:name="_Toc159404764"/>
      <w:r>
        <w:lastRenderedPageBreak/>
        <w:t>MUNICIPAL FRANCHISE FEES</w:t>
      </w:r>
      <w:bookmarkEnd w:id="22"/>
    </w:p>
    <w:p w14:paraId="1633C056" w14:textId="348BEC75" w:rsidR="008E4D07" w:rsidRPr="00B72D0F" w:rsidDel="00893313" w:rsidRDefault="00435C20" w:rsidP="00E81E3E">
      <w:pPr>
        <w:keepNext/>
        <w:keepLines/>
        <w:spacing w:line="480" w:lineRule="auto"/>
        <w:ind w:left="720" w:hanging="720"/>
        <w:jc w:val="both"/>
        <w:rPr>
          <w:b/>
          <w:bCs/>
        </w:rPr>
      </w:pPr>
      <w:r w:rsidRPr="1CCF50D0">
        <w:rPr>
          <w:b/>
          <w:bCs/>
        </w:rPr>
        <w:t>Q.</w:t>
      </w:r>
      <w:r>
        <w:tab/>
      </w:r>
      <w:r w:rsidR="008E4D07" w:rsidRPr="1CCF50D0">
        <w:rPr>
          <w:b/>
          <w:bCs/>
        </w:rPr>
        <w:t>WHAT ARE MUNICIPAL FRANCHISE ORDINANCES AND FRANCHISE FEES?</w:t>
      </w:r>
    </w:p>
    <w:p w14:paraId="5A667357" w14:textId="54238BCF" w:rsidR="008E4D07" w:rsidRPr="008F5F33" w:rsidDel="00893313" w:rsidRDefault="00435C20" w:rsidP="00E81E3E">
      <w:pPr>
        <w:pStyle w:val="CRAnswer"/>
        <w:keepNext/>
        <w:keepLines/>
      </w:pPr>
      <w:r>
        <w:t>A.</w:t>
      </w:r>
      <w:r>
        <w:tab/>
      </w:r>
      <w:r w:rsidR="008E4D07">
        <w:t xml:space="preserve">A municipal franchise ordinance is an agreed ordinance between the Company and a city whereby the Company pays a negotiated franchise fee in exchange for certain rights from the city, such as the right to use the city’s public rights-of-way to install, use, and maintain utility poles, transmission and distribution lines, and other equipment necessary to conduct its electric delivery business.  The agreement is called an “ordinance” because it is </w:t>
      </w:r>
      <w:bookmarkStart w:id="23" w:name="_Int_DjUu2hF0"/>
      <w:proofErr w:type="gramStart"/>
      <w:r w:rsidR="008E4D07">
        <w:t>actually passed</w:t>
      </w:r>
      <w:bookmarkEnd w:id="23"/>
      <w:proofErr w:type="gramEnd"/>
      <w:r w:rsidR="008E4D07">
        <w:t xml:space="preserve"> into law by the various city governments in the Company’s service area.    </w:t>
      </w:r>
    </w:p>
    <w:p w14:paraId="2763B11D" w14:textId="54D5D233" w:rsidR="008E4D07" w:rsidRPr="00B72D0F" w:rsidDel="00893313" w:rsidRDefault="00435C20" w:rsidP="1CCF50D0">
      <w:pPr>
        <w:spacing w:line="480" w:lineRule="auto"/>
        <w:ind w:left="720" w:hanging="720"/>
        <w:jc w:val="both"/>
        <w:rPr>
          <w:b/>
          <w:bCs/>
        </w:rPr>
      </w:pPr>
      <w:r w:rsidRPr="1CCF50D0">
        <w:rPr>
          <w:b/>
          <w:bCs/>
        </w:rPr>
        <w:t>Q.</w:t>
      </w:r>
      <w:r>
        <w:tab/>
      </w:r>
      <w:r w:rsidR="008E4D07" w:rsidRPr="1CCF50D0">
        <w:rPr>
          <w:b/>
          <w:bCs/>
        </w:rPr>
        <w:t>HOW MANY FRANCHISE ORDINANCES DOES THE COMPANY HAVE TODAY?</w:t>
      </w:r>
    </w:p>
    <w:p w14:paraId="368E7D94" w14:textId="495E956E" w:rsidR="008E4D07" w:rsidRPr="008F5F33" w:rsidDel="00893313" w:rsidRDefault="00435C20" w:rsidP="0013036A">
      <w:pPr>
        <w:pStyle w:val="CRAnswer"/>
      </w:pPr>
      <w:r>
        <w:t>A.</w:t>
      </w:r>
      <w:r>
        <w:tab/>
      </w:r>
      <w:r w:rsidR="008E4D07">
        <w:t xml:space="preserve">The Company has franchise ordinances with </w:t>
      </w:r>
      <w:r w:rsidR="009B5DF5">
        <w:t>93</w:t>
      </w:r>
      <w:r w:rsidR="008E4D07">
        <w:t xml:space="preserve"> cities in its service area.  </w:t>
      </w:r>
    </w:p>
    <w:p w14:paraId="13745AA7" w14:textId="79039AD1" w:rsidR="008E4D07" w:rsidRPr="00B72D0F" w:rsidDel="00893313" w:rsidRDefault="00435C20" w:rsidP="1CCF50D0">
      <w:pPr>
        <w:keepNext/>
        <w:keepLines/>
        <w:spacing w:line="480" w:lineRule="auto"/>
        <w:ind w:left="720" w:hanging="720"/>
        <w:jc w:val="both"/>
        <w:rPr>
          <w:b/>
          <w:bCs/>
        </w:rPr>
      </w:pPr>
      <w:r w:rsidRPr="1CCF50D0">
        <w:rPr>
          <w:b/>
          <w:bCs/>
        </w:rPr>
        <w:t>Q.</w:t>
      </w:r>
      <w:r>
        <w:tab/>
      </w:r>
      <w:r w:rsidR="008E4D07" w:rsidRPr="1CCF50D0">
        <w:rPr>
          <w:b/>
          <w:bCs/>
        </w:rPr>
        <w:t xml:space="preserve">PLEASE BRIEFLY DESCRIBE THE FRANCHISE FEES PAID BY CENTERPOINT HOUSTON UNDER THESE </w:t>
      </w:r>
      <w:r w:rsidR="006A2F5D" w:rsidRPr="1CCF50D0">
        <w:rPr>
          <w:b/>
          <w:bCs/>
        </w:rPr>
        <w:t>FRANCHISE ORDINANCES.</w:t>
      </w:r>
    </w:p>
    <w:p w14:paraId="71C681DF" w14:textId="100AD5BE" w:rsidR="008E4D07" w:rsidRPr="008F5F33" w:rsidRDefault="0442E967" w:rsidP="0013036A">
      <w:pPr>
        <w:pStyle w:val="CRAnswer"/>
      </w:pPr>
      <w:r w:rsidRPr="006A2F5D" w:rsidDel="00893313">
        <w:t>A.</w:t>
      </w:r>
      <w:r w:rsidR="00435C20">
        <w:tab/>
      </w:r>
      <w:r w:rsidR="1A21C60A" w:rsidRPr="008F5F33" w:rsidDel="00893313">
        <w:t>As provided for under PURA §</w:t>
      </w:r>
      <w:r w:rsidR="2AEE2D78" w:rsidDel="00893313">
        <w:t> </w:t>
      </w:r>
      <w:r w:rsidR="1A21C60A" w:rsidRPr="008F5F33" w:rsidDel="00893313">
        <w:t>33.008(f), upon the expiration of any franchise agreement that existed on September 1, 1999, CenterPoint Houston has negotiated with the cities in its service territory to reach a new franchise agreement that provides for an agreed upon level of compensation</w:t>
      </w:r>
      <w:r w:rsidR="44BE867C" w:rsidRPr="008F5F33" w:rsidDel="00893313">
        <w:t xml:space="preserve"> to the municipality in return for the rights granted the Company</w:t>
      </w:r>
      <w:r w:rsidR="6DF84C9B" w:rsidRPr="008F5F33" w:rsidDel="00893313">
        <w:t>.</w:t>
      </w:r>
      <w:r w:rsidR="1A21C60A" w:rsidRPr="008F5F33" w:rsidDel="00893313">
        <w:t xml:space="preserve">  As of December 31, </w:t>
      </w:r>
      <w:r w:rsidR="00D271D1">
        <w:t>2023</w:t>
      </w:r>
      <w:r w:rsidR="1A21C60A" w:rsidRPr="008F5F33" w:rsidDel="00893313">
        <w:t>,</w:t>
      </w:r>
      <w:r w:rsidDel="0442E967">
        <w:t xml:space="preserve"> </w:t>
      </w:r>
      <w:r w:rsidR="00D271D1">
        <w:t>80</w:t>
      </w:r>
      <w:r w:rsidR="1A21C60A">
        <w:t xml:space="preserve"> </w:t>
      </w:r>
      <w:r w:rsidR="1A21C60A" w:rsidRPr="008F5F33" w:rsidDel="00893313">
        <w:t xml:space="preserve">cities have passed renewal franchise ordinances approving agreed-to franchise fee amounts </w:t>
      </w:r>
      <w:bookmarkStart w:id="24" w:name="_Int_O1nmJsQE"/>
      <w:proofErr w:type="gramStart"/>
      <w:r w:rsidR="1A21C60A" w:rsidRPr="008F5F33" w:rsidDel="00893313">
        <w:t xml:space="preserve">as a </w:t>
      </w:r>
      <w:r w:rsidR="5502D8FF" w:rsidDel="00893313">
        <w:t>result of</w:t>
      </w:r>
      <w:bookmarkEnd w:id="24"/>
      <w:proofErr w:type="gramEnd"/>
      <w:r w:rsidR="5502D8FF" w:rsidDel="00893313">
        <w:t xml:space="preserve"> these negotiations.  </w:t>
      </w:r>
      <w:r w:rsidR="1A21C60A" w:rsidRPr="008F5F33" w:rsidDel="00893313">
        <w:t xml:space="preserve">A list of those cities and the date of passage for each of the renewal franchise ordinances is included in my testimony as </w:t>
      </w:r>
      <w:r w:rsidR="1A21C60A" w:rsidRPr="009B5DF5" w:rsidDel="00893313">
        <w:t xml:space="preserve">Exhibit </w:t>
      </w:r>
      <w:r w:rsidR="5C7A79A5">
        <w:t>B</w:t>
      </w:r>
      <w:r w:rsidR="4B9189A1">
        <w:t>A</w:t>
      </w:r>
      <w:r w:rsidR="5C7A79A5">
        <w:t>T</w:t>
      </w:r>
      <w:r w:rsidR="2FE1A351" w:rsidRPr="3B336FFB" w:rsidDel="00893313">
        <w:t>-1</w:t>
      </w:r>
      <w:r w:rsidR="21645D5D" w:rsidRPr="009B5DF5" w:rsidDel="00893313">
        <w:t>.</w:t>
      </w:r>
      <w:r w:rsidR="21645D5D" w:rsidDel="00893313">
        <w:t xml:space="preserve"> </w:t>
      </w:r>
      <w:r w:rsidDel="0442E967">
        <w:t xml:space="preserve"> </w:t>
      </w:r>
      <w:r w:rsidR="009F666A">
        <w:lastRenderedPageBreak/>
        <w:t xml:space="preserve">Thirteen </w:t>
      </w:r>
      <w:r w:rsidR="1A21C60A" w:rsidRPr="008F5F33" w:rsidDel="00893313">
        <w:t xml:space="preserve">cities </w:t>
      </w:r>
      <w:r w:rsidR="23CD08CA" w:rsidDel="00893313">
        <w:t xml:space="preserve">have </w:t>
      </w:r>
      <w:r w:rsidR="1A21C60A" w:rsidRPr="008F5F33" w:rsidDel="00893313">
        <w:t xml:space="preserve">franchise agreements </w:t>
      </w:r>
      <w:r w:rsidR="23CD08CA" w:rsidDel="00893313">
        <w:t xml:space="preserve">that </w:t>
      </w:r>
      <w:r w:rsidR="31838607" w:rsidDel="00893313">
        <w:t xml:space="preserve">remain as they </w:t>
      </w:r>
      <w:r w:rsidR="1A21C60A" w:rsidRPr="008F5F33" w:rsidDel="00893313">
        <w:t>existed on September 1, 1999,</w:t>
      </w:r>
      <w:r w:rsidR="00AD5CE6" w:rsidDel="00893313">
        <w:rPr>
          <w:rStyle w:val="FootnoteReference"/>
        </w:rPr>
        <w:footnoteReference w:id="3"/>
      </w:r>
      <w:r w:rsidDel="009B5DF5">
        <w:t xml:space="preserve"> </w:t>
      </w:r>
      <w:r>
        <w:t>which have not been renewed.  The Company’s annual municipal franchise fee for these 1</w:t>
      </w:r>
      <w:r w:rsidR="009F666A">
        <w:t>3</w:t>
      </w:r>
      <w:r>
        <w:t xml:space="preserve"> cities is determined by applying the formula set out in PURA § 33.008(b).  CenterPoint Houston has franchise agreements with four cities </w:t>
      </w:r>
      <w:r w:rsidR="507F4216">
        <w:t xml:space="preserve">that were </w:t>
      </w:r>
      <w:r>
        <w:t>incorporated</w:t>
      </w:r>
      <w:r w:rsidR="019EEEFB">
        <w:t xml:space="preserve"> after September 1, 1999</w:t>
      </w:r>
      <w:r>
        <w:t>.</w:t>
      </w:r>
      <w:r w:rsidR="00AD5CE6">
        <w:rPr>
          <w:rStyle w:val="FootnoteReference"/>
        </w:rPr>
        <w:footnoteReference w:id="4"/>
      </w:r>
      <w:r>
        <w:t xml:space="preserve">  For these cities, the Company’s annual municipal franchise fee is determined by applying the formula set out in PURA § 33.008(g).  </w:t>
      </w:r>
    </w:p>
    <w:p w14:paraId="6771339B" w14:textId="21F739AD" w:rsidR="008E4D07" w:rsidRPr="00B72D0F" w:rsidRDefault="00435C20" w:rsidP="00335BC2">
      <w:pPr>
        <w:keepNext/>
        <w:keepLines/>
        <w:spacing w:line="480" w:lineRule="auto"/>
        <w:ind w:left="720" w:hanging="720"/>
        <w:jc w:val="both"/>
        <w:rPr>
          <w:b/>
        </w:rPr>
      </w:pPr>
      <w:r w:rsidRPr="00B72D0F">
        <w:rPr>
          <w:b/>
        </w:rPr>
        <w:t>Q.</w:t>
      </w:r>
      <w:r w:rsidRPr="00B72D0F">
        <w:rPr>
          <w:b/>
        </w:rPr>
        <w:tab/>
      </w:r>
      <w:r w:rsidR="008E4D07" w:rsidRPr="00B72D0F">
        <w:rPr>
          <w:b/>
        </w:rPr>
        <w:t xml:space="preserve">HAS THE </w:t>
      </w:r>
      <w:r w:rsidR="00441977">
        <w:rPr>
          <w:b/>
        </w:rPr>
        <w:t>COMMISSION</w:t>
      </w:r>
      <w:r w:rsidR="008E4D07" w:rsidRPr="00B72D0F">
        <w:rPr>
          <w:b/>
        </w:rPr>
        <w:t xml:space="preserve"> PREVIOUSLY CONSIDERED WHETHER CENTERPOINT HOUSTON MAY NEGOTIATE AND RECOVER THROUGH RATES FRANCHISE FEE PAYMENTS THAT DIFFER FROM THE FORMULA SET FORTH IN PURA §</w:t>
      </w:r>
      <w:r w:rsidR="006A2F5D" w:rsidRPr="00B72D0F">
        <w:rPr>
          <w:b/>
        </w:rPr>
        <w:t xml:space="preserve"> </w:t>
      </w:r>
      <w:r w:rsidR="008E4D07" w:rsidRPr="00B72D0F">
        <w:rPr>
          <w:b/>
        </w:rPr>
        <w:t xml:space="preserve">33.008(b)?   </w:t>
      </w:r>
    </w:p>
    <w:p w14:paraId="7CD5BB37" w14:textId="6B651C36" w:rsidR="008E4D07" w:rsidRPr="008F5F33" w:rsidRDefault="0442E967" w:rsidP="00A4454B">
      <w:pPr>
        <w:pStyle w:val="CRAnswer"/>
      </w:pPr>
      <w:r w:rsidRPr="006A2F5D">
        <w:t>A.</w:t>
      </w:r>
      <w:r w:rsidR="00435C20">
        <w:tab/>
      </w:r>
      <w:r w:rsidR="1A21C60A" w:rsidRPr="008F5F33">
        <w:t>Yes</w:t>
      </w:r>
      <w:r w:rsidR="1514C4A4">
        <w:t xml:space="preserve">.  </w:t>
      </w:r>
      <w:r w:rsidR="1A21C60A" w:rsidRPr="008F5F33">
        <w:t xml:space="preserve">In its Order on Rehearing in Docket No. 38339, the </w:t>
      </w:r>
      <w:r w:rsidR="1A4F5218">
        <w:t>Commission</w:t>
      </w:r>
      <w:r w:rsidR="1A21C60A" w:rsidRPr="008F5F33">
        <w:t xml:space="preserve"> concluded that upon the expiration of any franchise fee agreement existing on September 1, 1999, CenterPoint Houston could negotiate agreed-upon franchise fees with its cities and that such agreed-to amounts are reasonable and necessary operating expenses of the utility under PURA §</w:t>
      </w:r>
      <w:r w:rsidR="387D0F43">
        <w:t xml:space="preserve"> </w:t>
      </w:r>
      <w:r w:rsidR="1A21C60A" w:rsidRPr="008F5F33">
        <w:t>33.008(c) and (f).</w:t>
      </w:r>
      <w:r w:rsidR="008E4D07" w:rsidRPr="008F5F33">
        <w:rPr>
          <w:rStyle w:val="FootnoteReference"/>
        </w:rPr>
        <w:footnoteReference w:id="5"/>
      </w:r>
      <w:r w:rsidR="1A21C60A" w:rsidRPr="008F5F33">
        <w:t xml:space="preserve">   </w:t>
      </w:r>
    </w:p>
    <w:p w14:paraId="2E7C1B20" w14:textId="179A012E" w:rsidR="008E4D07" w:rsidRPr="008F5F33" w:rsidRDefault="00435C20" w:rsidP="00B72D0F">
      <w:pPr>
        <w:pStyle w:val="CRQuestion"/>
        <w:keepNext/>
      </w:pPr>
      <w:r>
        <w:lastRenderedPageBreak/>
        <w:t>Q.</w:t>
      </w:r>
      <w:r>
        <w:tab/>
      </w:r>
      <w:r w:rsidR="001237A3">
        <w:t>ARE MUNICIPAL FRANCHISE PAYMENTS A REASONABLE AND NECESSARY EXPENSE ASSOCIATED WITH the PROVISION OF ELECTRIC SERVICE?</w:t>
      </w:r>
    </w:p>
    <w:p w14:paraId="1C20472F" w14:textId="1063A33B" w:rsidR="009B5DF5" w:rsidRDefault="0442E967" w:rsidP="00870154">
      <w:pPr>
        <w:autoSpaceDE w:val="0"/>
        <w:autoSpaceDN w:val="0"/>
        <w:adjustRightInd w:val="0"/>
        <w:spacing w:line="480" w:lineRule="auto"/>
        <w:ind w:left="720" w:hanging="720"/>
        <w:jc w:val="both"/>
        <w:rPr>
          <w:rFonts w:eastAsia="Calibri"/>
        </w:rPr>
      </w:pPr>
      <w:r>
        <w:t>A.</w:t>
      </w:r>
      <w:r>
        <w:tab/>
      </w:r>
      <w:r w:rsidR="1514C4A4">
        <w:t>Yes.  PURA § 33.008(c) states that munici</w:t>
      </w:r>
      <w:r w:rsidR="4501477C">
        <w:t>pal franchise fees shall be con</w:t>
      </w:r>
      <w:r w:rsidR="1514C4A4">
        <w:t>s</w:t>
      </w:r>
      <w:r w:rsidR="4501477C">
        <w:t>idere</w:t>
      </w:r>
      <w:r w:rsidR="1514C4A4">
        <w:t>d a reasonable and necessary operating expense of an electric utility.  My</w:t>
      </w:r>
      <w:r w:rsidR="7CC38E5D">
        <w:t xml:space="preserve"> testimony establishes that the </w:t>
      </w:r>
      <w:r w:rsidR="1514C4A4">
        <w:t xml:space="preserve">municipal franchise fees paid by CenterPoint Houston comply with the requirements of PURA § 33.008(b), (f), and (g) and therefore, should be recovered in the Company’s rates.  </w:t>
      </w:r>
      <w:r w:rsidR="005A123B">
        <w:t>My testimony</w:t>
      </w:r>
      <w:r w:rsidR="1514C4A4">
        <w:t xml:space="preserve"> </w:t>
      </w:r>
      <w:r w:rsidR="7CC38E5D">
        <w:t>further support</w:t>
      </w:r>
      <w:r w:rsidR="005A123B">
        <w:t>s</w:t>
      </w:r>
      <w:r w:rsidR="7CC38E5D">
        <w:t xml:space="preserve"> the </w:t>
      </w:r>
      <w:r w:rsidR="1514C4A4">
        <w:t>franchise fees requested in the Company’s rate filing</w:t>
      </w:r>
      <w:r w:rsidR="611FF5A1">
        <w:t>, which</w:t>
      </w:r>
      <w:r w:rsidR="1A21C60A">
        <w:t xml:space="preserve"> is presented on Schedule II-E-2 </w:t>
      </w:r>
      <w:r w:rsidR="36279D08">
        <w:t xml:space="preserve">(Taxes Other than Federal Income Taxes) </w:t>
      </w:r>
      <w:r w:rsidR="1A21C60A">
        <w:t>in the Rate Filing Package</w:t>
      </w:r>
      <w:r w:rsidR="01E38ED9">
        <w:t>.</w:t>
      </w:r>
    </w:p>
    <w:p w14:paraId="0FE1242A" w14:textId="682B3532" w:rsidR="00A6001A" w:rsidRPr="00D31CBE" w:rsidRDefault="00435C20" w:rsidP="00996FDC">
      <w:pPr>
        <w:spacing w:line="480" w:lineRule="auto"/>
        <w:ind w:left="720" w:hanging="720"/>
        <w:jc w:val="both"/>
      </w:pPr>
      <w:r w:rsidRPr="00996FDC">
        <w:rPr>
          <w:b/>
        </w:rPr>
        <w:t>Q.</w:t>
      </w:r>
      <w:r>
        <w:tab/>
      </w:r>
      <w:r w:rsidR="00BF0E42" w:rsidRPr="4DAC81F5">
        <w:rPr>
          <w:b/>
        </w:rPr>
        <w:t>DOES THIS CONCLUDE YOUR TESTIMONY?</w:t>
      </w:r>
    </w:p>
    <w:p w14:paraId="1CDA7885" w14:textId="7A7A0537" w:rsidR="0027789E" w:rsidRPr="0027789E" w:rsidRDefault="00435C20" w:rsidP="007B5205">
      <w:pPr>
        <w:pStyle w:val="CRAnswer"/>
      </w:pPr>
      <w:r w:rsidRPr="00A4454B">
        <w:t>A.</w:t>
      </w:r>
      <w:r>
        <w:tab/>
      </w:r>
      <w:r w:rsidR="00A6001A" w:rsidRPr="008F5F33">
        <w:t>Yes, it does.</w:t>
      </w:r>
      <w:bookmarkEnd w:id="3"/>
    </w:p>
    <w:sectPr w:rsidR="0027789E" w:rsidRPr="0027789E" w:rsidSect="002457B7">
      <w:headerReference w:type="default" r:id="rId16"/>
      <w:footerReference w:type="default" r:id="rId17"/>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20B30" w14:textId="77777777" w:rsidR="005B04EB" w:rsidRDefault="005B04EB" w:rsidP="008C7BD6">
      <w:r>
        <w:separator/>
      </w:r>
    </w:p>
  </w:endnote>
  <w:endnote w:type="continuationSeparator" w:id="0">
    <w:p w14:paraId="3D671DBB" w14:textId="77777777" w:rsidR="005B04EB" w:rsidRDefault="005B04EB" w:rsidP="008C7BD6">
      <w:r>
        <w:continuationSeparator/>
      </w:r>
    </w:p>
  </w:endnote>
  <w:endnote w:type="continuationNotice" w:id="1">
    <w:p w14:paraId="01403F57" w14:textId="77777777" w:rsidR="005B04EB" w:rsidRDefault="005B0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UniversCondensedBold">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NewRomanPSM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46AA7" w14:textId="39F859F9" w:rsidR="00C346DC" w:rsidRPr="00C21AA3" w:rsidRDefault="00584F02" w:rsidP="00C346DC">
    <w:pPr>
      <w:tabs>
        <w:tab w:val="center" w:pos="4680"/>
        <w:tab w:val="left" w:pos="7440"/>
      </w:tabs>
      <w:autoSpaceDE w:val="0"/>
      <w:autoSpaceDN w:val="0"/>
      <w:adjustRightInd w:val="0"/>
      <w:spacing w:line="240" w:lineRule="atLeast"/>
      <w:rPr>
        <w:color w:val="000000"/>
        <w:sz w:val="20"/>
      </w:rPr>
    </w:pPr>
    <w:r>
      <w:rPr>
        <w:b/>
        <w:color w:val="000000"/>
      </w:rPr>
      <w:tab/>
    </w:r>
  </w:p>
  <w:p w14:paraId="7D2C608E" w14:textId="75255FE0" w:rsidR="00C346DC" w:rsidRPr="00B72D0F" w:rsidRDefault="00C346DC" w:rsidP="00C346DC">
    <w:pPr>
      <w:pStyle w:val="Header"/>
      <w:jc w:val="center"/>
      <w:rPr>
        <w:b/>
        <w:color w:val="000000"/>
        <w:sz w:val="20"/>
      </w:rPr>
    </w:pPr>
    <w:r w:rsidRPr="00B72D0F">
      <w:rPr>
        <w:b/>
        <w:color w:val="000000"/>
        <w:sz w:val="20"/>
      </w:rPr>
      <w:t xml:space="preserve">Direct Testimony of </w:t>
    </w:r>
    <w:r w:rsidR="00D31CBE">
      <w:rPr>
        <w:b/>
        <w:color w:val="000000"/>
        <w:sz w:val="20"/>
      </w:rPr>
      <w:t>Brad Tutunjian</w:t>
    </w:r>
  </w:p>
  <w:p w14:paraId="2A8135C4" w14:textId="77777777" w:rsidR="00C346DC" w:rsidRPr="00B72D0F" w:rsidRDefault="00C346DC" w:rsidP="00C346DC">
    <w:pPr>
      <w:autoSpaceDE w:val="0"/>
      <w:autoSpaceDN w:val="0"/>
      <w:adjustRightInd w:val="0"/>
      <w:spacing w:line="240" w:lineRule="atLeast"/>
      <w:jc w:val="center"/>
      <w:rPr>
        <w:b/>
        <w:color w:val="000000"/>
        <w:sz w:val="20"/>
      </w:rPr>
    </w:pPr>
    <w:r w:rsidRPr="00B72D0F">
      <w:rPr>
        <w:b/>
        <w:color w:val="000000"/>
        <w:sz w:val="20"/>
      </w:rPr>
      <w:t>CenterPoint Energy Houston Electric, LLC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7D07" w14:textId="77777777" w:rsidR="007B5205" w:rsidRPr="00C21AA3" w:rsidRDefault="007B5205" w:rsidP="00C346DC">
    <w:pPr>
      <w:tabs>
        <w:tab w:val="center" w:pos="4680"/>
        <w:tab w:val="left" w:pos="7440"/>
      </w:tabs>
      <w:autoSpaceDE w:val="0"/>
      <w:autoSpaceDN w:val="0"/>
      <w:adjustRightInd w:val="0"/>
      <w:spacing w:line="240" w:lineRule="atLeast"/>
      <w:rPr>
        <w:color w:val="000000"/>
        <w:sz w:val="20"/>
      </w:rPr>
    </w:pPr>
    <w:r>
      <w:rPr>
        <w:b/>
        <w:color w:val="000000"/>
      </w:rPr>
      <w:tab/>
    </w:r>
  </w:p>
  <w:p w14:paraId="6F39D9F0" w14:textId="77777777" w:rsidR="006029AE" w:rsidRPr="00B72D0F" w:rsidRDefault="006029AE" w:rsidP="006029AE">
    <w:pPr>
      <w:pStyle w:val="Header"/>
      <w:jc w:val="center"/>
      <w:rPr>
        <w:b/>
        <w:color w:val="000000"/>
        <w:sz w:val="20"/>
      </w:rPr>
    </w:pPr>
    <w:r w:rsidRPr="00B72D0F">
      <w:rPr>
        <w:b/>
        <w:color w:val="000000"/>
        <w:sz w:val="20"/>
      </w:rPr>
      <w:t xml:space="preserve">Direct Testimony of </w:t>
    </w:r>
    <w:r>
      <w:rPr>
        <w:b/>
        <w:color w:val="000000"/>
        <w:sz w:val="20"/>
      </w:rPr>
      <w:t>Brad Tutunjian</w:t>
    </w:r>
  </w:p>
  <w:p w14:paraId="196AC3C7" w14:textId="77777777" w:rsidR="006029AE" w:rsidRPr="00B72D0F" w:rsidRDefault="006029AE" w:rsidP="006029AE">
    <w:pPr>
      <w:autoSpaceDE w:val="0"/>
      <w:autoSpaceDN w:val="0"/>
      <w:adjustRightInd w:val="0"/>
      <w:spacing w:line="240" w:lineRule="atLeast"/>
      <w:jc w:val="center"/>
      <w:rPr>
        <w:b/>
        <w:color w:val="000000"/>
        <w:sz w:val="20"/>
      </w:rPr>
    </w:pPr>
    <w:r w:rsidRPr="00B72D0F">
      <w:rPr>
        <w:b/>
        <w:color w:val="000000"/>
        <w:sz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54A82" w14:textId="77777777" w:rsidR="005B04EB" w:rsidRDefault="005B04EB" w:rsidP="008C7BD6">
      <w:r>
        <w:separator/>
      </w:r>
    </w:p>
  </w:footnote>
  <w:footnote w:type="continuationSeparator" w:id="0">
    <w:p w14:paraId="3D0E1DD2" w14:textId="77777777" w:rsidR="005B04EB" w:rsidRDefault="005B04EB" w:rsidP="008C7BD6">
      <w:r>
        <w:continuationSeparator/>
      </w:r>
    </w:p>
  </w:footnote>
  <w:footnote w:type="continuationNotice" w:id="1">
    <w:p w14:paraId="0A2C1150" w14:textId="77777777" w:rsidR="005B04EB" w:rsidRDefault="005B04EB"/>
  </w:footnote>
  <w:footnote w:id="2">
    <w:p w14:paraId="47DE4B21" w14:textId="44434B28" w:rsidR="004B230D" w:rsidRDefault="004B230D">
      <w:pPr>
        <w:pStyle w:val="FootnoteText"/>
      </w:pPr>
      <w:r>
        <w:rPr>
          <w:rStyle w:val="FootnoteReference"/>
        </w:rPr>
        <w:footnoteRef/>
      </w:r>
      <w:r>
        <w:t xml:space="preserve"> </w:t>
      </w:r>
      <w:r w:rsidR="00BE5554">
        <w:t>The</w:t>
      </w:r>
      <w:r>
        <w:rPr>
          <w:szCs w:val="24"/>
        </w:rPr>
        <w:t xml:space="preserve"> regulatory and government affairs </w:t>
      </w:r>
      <w:proofErr w:type="gramStart"/>
      <w:r>
        <w:rPr>
          <w:szCs w:val="24"/>
        </w:rPr>
        <w:t>matters</w:t>
      </w:r>
      <w:proofErr w:type="gramEnd"/>
      <w:r>
        <w:rPr>
          <w:szCs w:val="24"/>
        </w:rPr>
        <w:t xml:space="preserve"> </w:t>
      </w:r>
      <w:r w:rsidR="00BE5554">
        <w:rPr>
          <w:szCs w:val="24"/>
        </w:rPr>
        <w:t xml:space="preserve">that </w:t>
      </w:r>
      <w:r>
        <w:rPr>
          <w:szCs w:val="24"/>
        </w:rPr>
        <w:t>may be legal in nature or have legal components to them and are managed by the Regulatory Affairs and Government Services team</w:t>
      </w:r>
      <w:r w:rsidR="00BE5554">
        <w:rPr>
          <w:szCs w:val="24"/>
        </w:rPr>
        <w:t xml:space="preserve"> are the subject of my testimony; </w:t>
      </w:r>
      <w:r w:rsidR="009703E3">
        <w:rPr>
          <w:szCs w:val="24"/>
        </w:rPr>
        <w:t xml:space="preserve">the testimony or witness Shane Kimzey </w:t>
      </w:r>
      <w:r>
        <w:rPr>
          <w:szCs w:val="24"/>
        </w:rPr>
        <w:t>covers th</w:t>
      </w:r>
      <w:r w:rsidR="00E07268">
        <w:rPr>
          <w:szCs w:val="24"/>
        </w:rPr>
        <w:t>e legal matters</w:t>
      </w:r>
      <w:r>
        <w:rPr>
          <w:szCs w:val="24"/>
        </w:rPr>
        <w:t xml:space="preserve"> handled and supervised by the Legal Department.  </w:t>
      </w:r>
    </w:p>
  </w:footnote>
  <w:footnote w:id="3">
    <w:p w14:paraId="4B37FA18" w14:textId="0E79F113" w:rsidR="00584F02" w:rsidRPr="00B72D0F" w:rsidDel="00893313" w:rsidRDefault="00E81E3E" w:rsidP="6C847E14">
      <w:pPr>
        <w:pStyle w:val="FootnoteText"/>
        <w:rPr>
          <w:highlight w:val="yellow"/>
        </w:rPr>
      </w:pPr>
      <w:r>
        <w:rPr>
          <w:rStyle w:val="FootnoteReference"/>
        </w:rPr>
        <w:footnoteRef/>
      </w:r>
      <w:r w:rsidR="6C847E14" w:rsidRPr="00996FDC" w:rsidDel="00893313">
        <w:t xml:space="preserve"> The Cities of Alvin, Arcola, Dickinson, El Lago, League City, La Marque, Manvel, Oakridge North, Pattison, Pearland, Prairie View, </w:t>
      </w:r>
      <w:proofErr w:type="spellStart"/>
      <w:r w:rsidR="6C847E14" w:rsidRPr="00996FDC" w:rsidDel="00893313">
        <w:t>Shoreacres</w:t>
      </w:r>
      <w:proofErr w:type="spellEnd"/>
      <w:r w:rsidR="6C847E14" w:rsidRPr="00996FDC" w:rsidDel="00893313">
        <w:t>, and Taylor Lake Village.</w:t>
      </w:r>
    </w:p>
  </w:footnote>
  <w:footnote w:id="4">
    <w:p w14:paraId="1E5000D5" w14:textId="2B4D2F9F" w:rsidR="00584F02" w:rsidDel="00893313" w:rsidRDefault="00E81E3E">
      <w:pPr>
        <w:pStyle w:val="FootnoteText"/>
      </w:pPr>
      <w:r>
        <w:rPr>
          <w:rStyle w:val="FootnoteReference"/>
        </w:rPr>
        <w:footnoteRef/>
      </w:r>
      <w:r w:rsidR="671A69FE" w:rsidDel="00893313">
        <w:t xml:space="preserve"> The Cities of Brazos Country, East Bernard, Sandy Point, and Weston Lakes.</w:t>
      </w:r>
    </w:p>
  </w:footnote>
  <w:footnote w:id="5">
    <w:p w14:paraId="7870FB8B" w14:textId="32BBB3CC" w:rsidR="00584F02" w:rsidDel="00893313" w:rsidRDefault="00E81E3E" w:rsidP="008E4D07">
      <w:pPr>
        <w:pStyle w:val="FootnoteText"/>
      </w:pPr>
      <w:r>
        <w:rPr>
          <w:rStyle w:val="FootnoteReference"/>
        </w:rPr>
        <w:footnoteRef/>
      </w:r>
      <w:r w:rsidR="671A69FE" w:rsidDel="00893313">
        <w:t xml:space="preserve"> </w:t>
      </w:r>
      <w:r w:rsidR="671A69FE" w:rsidRPr="671A69FE" w:rsidDel="00893313">
        <w:rPr>
          <w:i/>
          <w:iCs/>
        </w:rPr>
        <w:t>Application of CenterPoint Energy Houston Electric, LLC for Authority to Change Rates</w:t>
      </w:r>
      <w:r w:rsidR="671A69FE" w:rsidRPr="00360CF7" w:rsidDel="00893313">
        <w:t xml:space="preserve">, </w:t>
      </w:r>
      <w:r w:rsidR="671A69FE" w:rsidDel="00893313">
        <w:t>Docket No. 38339, Order on Rehearing at 11-12, Finding of Fact No. 167A (June 23,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380A" w14:textId="77777777" w:rsidR="00584F02" w:rsidRPr="004626EE" w:rsidRDefault="00584F02" w:rsidP="000B3245">
    <w:pPr>
      <w:pStyle w:val="Header"/>
      <w:jc w:val="cent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Content>
      <w:p w14:paraId="6F9C8C67" w14:textId="78D122C0" w:rsidR="004C39D3" w:rsidRPr="001B1832" w:rsidRDefault="007716AB" w:rsidP="004C39D3">
        <w:pPr>
          <w:pStyle w:val="Header"/>
          <w:jc w:val="right"/>
        </w:pPr>
        <w:r>
          <w:t>ES-1</w:t>
        </w:r>
      </w:p>
    </w:sdtContent>
  </w:sdt>
  <w:p w14:paraId="091DF55D" w14:textId="77777777" w:rsidR="004C39D3" w:rsidRPr="001B1832" w:rsidRDefault="004C39D3" w:rsidP="004C39D3">
    <w:pPr>
      <w:pStyle w:val="Header"/>
      <w:jc w:val="right"/>
    </w:pPr>
  </w:p>
  <w:p w14:paraId="55E47078" w14:textId="5CACE365" w:rsidR="00C346DC" w:rsidRPr="00C346DC" w:rsidRDefault="00C346D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889174"/>
      <w:docPartObj>
        <w:docPartGallery w:val="Page Numbers (Top of Page)"/>
        <w:docPartUnique/>
      </w:docPartObj>
    </w:sdtPr>
    <w:sdtContent>
      <w:p w14:paraId="3E24611E" w14:textId="27D0921A" w:rsidR="009B58B8" w:rsidRPr="001B1832" w:rsidRDefault="006029AE" w:rsidP="004C39D3">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2457B7">
          <w:rPr>
            <w:noProof/>
          </w:rPr>
          <w:t>14</w:t>
        </w:r>
        <w:r>
          <w:rPr>
            <w:noProof/>
          </w:rPr>
          <w:fldChar w:fldCharType="end"/>
        </w:r>
      </w:p>
      <w:p w14:paraId="14AE88ED" w14:textId="77777777" w:rsidR="009B58B8" w:rsidRPr="00C346DC" w:rsidRDefault="00000000">
        <w:pPr>
          <w:pStyle w:val="Header"/>
          <w:jc w:val="righ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62494"/>
    <w:multiLevelType w:val="hybridMultilevel"/>
    <w:tmpl w:val="F0C8BC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77B25E7"/>
    <w:multiLevelType w:val="multilevel"/>
    <w:tmpl w:val="FFFFFFFF"/>
    <w:lvl w:ilvl="0">
      <w:start w:val="1"/>
      <w:numFmt w:val="upperRoman"/>
      <w:lvlText w:val="%1."/>
      <w:lvlJc w:val="left"/>
      <w:pPr>
        <w:ind w:left="1152"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C0132A"/>
    <w:multiLevelType w:val="hybridMultilevel"/>
    <w:tmpl w:val="AFACF7AC"/>
    <w:lvl w:ilvl="0" w:tplc="D3F62506">
      <w:start w:val="1"/>
      <w:numFmt w:val="upperRoman"/>
      <w:lvlText w:val="%1."/>
      <w:lvlJc w:val="left"/>
      <w:pPr>
        <w:tabs>
          <w:tab w:val="num" w:pos="1152"/>
        </w:tabs>
        <w:ind w:left="1152"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4926B90">
      <w:start w:val="1"/>
      <w:numFmt w:val="upperLetter"/>
      <w:pStyle w:val="CROutline2"/>
      <w:lvlText w:val="%2."/>
      <w:lvlJc w:val="left"/>
      <w:pPr>
        <w:tabs>
          <w:tab w:val="num" w:pos="5940"/>
        </w:tabs>
        <w:ind w:left="6660" w:hanging="720"/>
      </w:pPr>
    </w:lvl>
    <w:lvl w:ilvl="2" w:tplc="03CE427E">
      <w:start w:val="1"/>
      <w:numFmt w:val="decimal"/>
      <w:pStyle w:val="CROutline3"/>
      <w:lvlText w:val="%3."/>
      <w:lvlJc w:val="left"/>
      <w:pPr>
        <w:tabs>
          <w:tab w:val="num" w:pos="1152"/>
        </w:tabs>
        <w:ind w:left="2592" w:hanging="720"/>
      </w:pPr>
    </w:lvl>
    <w:lvl w:ilvl="3" w:tplc="524A3118">
      <w:start w:val="1"/>
      <w:numFmt w:val="lowerLetter"/>
      <w:pStyle w:val="CROutline4"/>
      <w:lvlText w:val="%4."/>
      <w:lvlJc w:val="left"/>
      <w:pPr>
        <w:tabs>
          <w:tab w:val="num" w:pos="1152"/>
        </w:tabs>
        <w:ind w:left="3312" w:hanging="720"/>
      </w:pPr>
    </w:lvl>
    <w:lvl w:ilvl="4" w:tplc="C4C8A8F4">
      <w:start w:val="1"/>
      <w:numFmt w:val="decimal"/>
      <w:pStyle w:val="CROutline5"/>
      <w:lvlText w:val="(%5)"/>
      <w:lvlJc w:val="left"/>
      <w:pPr>
        <w:tabs>
          <w:tab w:val="num" w:pos="1152"/>
        </w:tabs>
        <w:ind w:left="4032" w:hanging="720"/>
      </w:pPr>
    </w:lvl>
    <w:lvl w:ilvl="5" w:tplc="0974019E">
      <w:start w:val="1"/>
      <w:numFmt w:val="lowerLetter"/>
      <w:pStyle w:val="CROutline6"/>
      <w:lvlText w:val="(%6)"/>
      <w:lvlJc w:val="left"/>
      <w:pPr>
        <w:tabs>
          <w:tab w:val="num" w:pos="1152"/>
        </w:tabs>
        <w:ind w:left="4752" w:hanging="720"/>
      </w:pPr>
    </w:lvl>
    <w:lvl w:ilvl="6" w:tplc="7F00A3B6">
      <w:start w:val="1"/>
      <w:numFmt w:val="lowerRoman"/>
      <w:pStyle w:val="CROutline7"/>
      <w:lvlText w:val="%7)"/>
      <w:lvlJc w:val="left"/>
      <w:pPr>
        <w:tabs>
          <w:tab w:val="num" w:pos="1152"/>
        </w:tabs>
        <w:ind w:left="5472" w:hanging="720"/>
      </w:pPr>
    </w:lvl>
    <w:lvl w:ilvl="7" w:tplc="2DBA8D16">
      <w:start w:val="1"/>
      <w:numFmt w:val="lowerLetter"/>
      <w:pStyle w:val="CROutline8"/>
      <w:lvlText w:val="%8)"/>
      <w:lvlJc w:val="left"/>
      <w:pPr>
        <w:tabs>
          <w:tab w:val="num" w:pos="1152"/>
        </w:tabs>
        <w:ind w:left="6192" w:hanging="720"/>
      </w:pPr>
    </w:lvl>
    <w:lvl w:ilvl="8" w:tplc="FBFEF9F0">
      <w:start w:val="1"/>
      <w:numFmt w:val="decimal"/>
      <w:pStyle w:val="CROutline9"/>
      <w:lvlText w:val="%9)"/>
      <w:lvlJc w:val="left"/>
      <w:pPr>
        <w:tabs>
          <w:tab w:val="num" w:pos="1152"/>
        </w:tabs>
        <w:ind w:left="6912" w:hanging="720"/>
      </w:pPr>
    </w:lvl>
  </w:abstractNum>
  <w:abstractNum w:abstractNumId="3" w15:restartNumberingAfterBreak="0">
    <w:nsid w:val="2FBB5C74"/>
    <w:multiLevelType w:val="hybridMultilevel"/>
    <w:tmpl w:val="9C8ADE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522C2"/>
    <w:multiLevelType w:val="hybridMultilevel"/>
    <w:tmpl w:val="47029CB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C751CA"/>
    <w:multiLevelType w:val="singleLevel"/>
    <w:tmpl w:val="837E1F78"/>
    <w:lvl w:ilvl="0">
      <w:start w:val="17"/>
      <w:numFmt w:val="upperLetter"/>
      <w:pStyle w:val="Heading1"/>
      <w:lvlText w:val="%1."/>
      <w:lvlJc w:val="left"/>
      <w:pPr>
        <w:tabs>
          <w:tab w:val="num" w:pos="900"/>
        </w:tabs>
        <w:ind w:left="900" w:hanging="720"/>
      </w:pPr>
      <w:rPr>
        <w:rFonts w:hint="default"/>
      </w:rPr>
    </w:lvl>
  </w:abstractNum>
  <w:num w:numId="1" w16cid:durableId="1759718606">
    <w:abstractNumId w:val="1"/>
  </w:num>
  <w:num w:numId="2" w16cid:durableId="256643139">
    <w:abstractNumId w:val="5"/>
  </w:num>
  <w:num w:numId="3" w16cid:durableId="484783768">
    <w:abstractNumId w:val="4"/>
  </w:num>
  <w:num w:numId="4" w16cid:durableId="2004238344">
    <w:abstractNumId w:val="2"/>
  </w:num>
  <w:num w:numId="5" w16cid:durableId="1598711760">
    <w:abstractNumId w:val="0"/>
  </w:num>
  <w:num w:numId="6" w16cid:durableId="8638477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BD6"/>
    <w:rsid w:val="0000586E"/>
    <w:rsid w:val="0000635A"/>
    <w:rsid w:val="00007A93"/>
    <w:rsid w:val="0000B2CD"/>
    <w:rsid w:val="000129AD"/>
    <w:rsid w:val="000131C2"/>
    <w:rsid w:val="00014604"/>
    <w:rsid w:val="000215B8"/>
    <w:rsid w:val="00022F22"/>
    <w:rsid w:val="000241AA"/>
    <w:rsid w:val="00027F6D"/>
    <w:rsid w:val="0003333F"/>
    <w:rsid w:val="00035C57"/>
    <w:rsid w:val="0004185E"/>
    <w:rsid w:val="0004326C"/>
    <w:rsid w:val="00044A98"/>
    <w:rsid w:val="00045F90"/>
    <w:rsid w:val="00047552"/>
    <w:rsid w:val="00054BCF"/>
    <w:rsid w:val="000558DA"/>
    <w:rsid w:val="000560B0"/>
    <w:rsid w:val="0005678C"/>
    <w:rsid w:val="00060C11"/>
    <w:rsid w:val="000624F8"/>
    <w:rsid w:val="00067782"/>
    <w:rsid w:val="00067880"/>
    <w:rsid w:val="00067E94"/>
    <w:rsid w:val="00082861"/>
    <w:rsid w:val="00082EC0"/>
    <w:rsid w:val="000930CA"/>
    <w:rsid w:val="00094ADD"/>
    <w:rsid w:val="00095037"/>
    <w:rsid w:val="000A1D46"/>
    <w:rsid w:val="000A5BD3"/>
    <w:rsid w:val="000B0FA8"/>
    <w:rsid w:val="000B1D83"/>
    <w:rsid w:val="000B3245"/>
    <w:rsid w:val="000B41F5"/>
    <w:rsid w:val="000B6100"/>
    <w:rsid w:val="000B6FE1"/>
    <w:rsid w:val="000C5271"/>
    <w:rsid w:val="000D1188"/>
    <w:rsid w:val="000D26C9"/>
    <w:rsid w:val="000D6761"/>
    <w:rsid w:val="000D75C8"/>
    <w:rsid w:val="000E2030"/>
    <w:rsid w:val="000E7DF7"/>
    <w:rsid w:val="000F26D3"/>
    <w:rsid w:val="000F29BB"/>
    <w:rsid w:val="000F4955"/>
    <w:rsid w:val="000F534B"/>
    <w:rsid w:val="000F6B79"/>
    <w:rsid w:val="000F6C8E"/>
    <w:rsid w:val="00102E9C"/>
    <w:rsid w:val="00106B98"/>
    <w:rsid w:val="001138A5"/>
    <w:rsid w:val="00115024"/>
    <w:rsid w:val="00120199"/>
    <w:rsid w:val="001237A3"/>
    <w:rsid w:val="00123FCB"/>
    <w:rsid w:val="001250DD"/>
    <w:rsid w:val="00127185"/>
    <w:rsid w:val="001274E4"/>
    <w:rsid w:val="0013036A"/>
    <w:rsid w:val="00130B08"/>
    <w:rsid w:val="001330C4"/>
    <w:rsid w:val="00134943"/>
    <w:rsid w:val="00134E7E"/>
    <w:rsid w:val="00144298"/>
    <w:rsid w:val="00146726"/>
    <w:rsid w:val="00146E00"/>
    <w:rsid w:val="0015098D"/>
    <w:rsid w:val="001529A6"/>
    <w:rsid w:val="00164D94"/>
    <w:rsid w:val="00165002"/>
    <w:rsid w:val="00165E80"/>
    <w:rsid w:val="001677E3"/>
    <w:rsid w:val="00173838"/>
    <w:rsid w:val="00174AB3"/>
    <w:rsid w:val="00175CFD"/>
    <w:rsid w:val="0017671F"/>
    <w:rsid w:val="001906FA"/>
    <w:rsid w:val="00190DB7"/>
    <w:rsid w:val="0019537F"/>
    <w:rsid w:val="00195B44"/>
    <w:rsid w:val="001A0A32"/>
    <w:rsid w:val="001A13F4"/>
    <w:rsid w:val="001A2F8B"/>
    <w:rsid w:val="001A5155"/>
    <w:rsid w:val="001B0994"/>
    <w:rsid w:val="001B234D"/>
    <w:rsid w:val="001B5209"/>
    <w:rsid w:val="001B6C20"/>
    <w:rsid w:val="001C0804"/>
    <w:rsid w:val="001C49B5"/>
    <w:rsid w:val="001C5C6D"/>
    <w:rsid w:val="001C738D"/>
    <w:rsid w:val="001C7500"/>
    <w:rsid w:val="001D12D0"/>
    <w:rsid w:val="001D23BD"/>
    <w:rsid w:val="001E12BD"/>
    <w:rsid w:val="001E4961"/>
    <w:rsid w:val="001E505F"/>
    <w:rsid w:val="001E626D"/>
    <w:rsid w:val="001F026F"/>
    <w:rsid w:val="001F2EF2"/>
    <w:rsid w:val="001F4CBC"/>
    <w:rsid w:val="001F5505"/>
    <w:rsid w:val="001F63A0"/>
    <w:rsid w:val="00200E52"/>
    <w:rsid w:val="00200FBC"/>
    <w:rsid w:val="00201E50"/>
    <w:rsid w:val="002021D4"/>
    <w:rsid w:val="00203150"/>
    <w:rsid w:val="00203A0D"/>
    <w:rsid w:val="002052CD"/>
    <w:rsid w:val="00205C76"/>
    <w:rsid w:val="002109F1"/>
    <w:rsid w:val="00211C02"/>
    <w:rsid w:val="0021244B"/>
    <w:rsid w:val="00212842"/>
    <w:rsid w:val="00214864"/>
    <w:rsid w:val="0021546B"/>
    <w:rsid w:val="00217B57"/>
    <w:rsid w:val="002223DF"/>
    <w:rsid w:val="00225D46"/>
    <w:rsid w:val="00225D61"/>
    <w:rsid w:val="0023054C"/>
    <w:rsid w:val="0023095C"/>
    <w:rsid w:val="00233E53"/>
    <w:rsid w:val="002425AB"/>
    <w:rsid w:val="002431F1"/>
    <w:rsid w:val="00243FEC"/>
    <w:rsid w:val="002457B7"/>
    <w:rsid w:val="00252E7C"/>
    <w:rsid w:val="002540AA"/>
    <w:rsid w:val="00254FD2"/>
    <w:rsid w:val="00254FD4"/>
    <w:rsid w:val="002551D5"/>
    <w:rsid w:val="002566D3"/>
    <w:rsid w:val="00256F36"/>
    <w:rsid w:val="00260731"/>
    <w:rsid w:val="00262BF2"/>
    <w:rsid w:val="00265E8B"/>
    <w:rsid w:val="00267384"/>
    <w:rsid w:val="0026766F"/>
    <w:rsid w:val="00271E46"/>
    <w:rsid w:val="0027269B"/>
    <w:rsid w:val="00273F65"/>
    <w:rsid w:val="002751FA"/>
    <w:rsid w:val="002755CF"/>
    <w:rsid w:val="00275BC6"/>
    <w:rsid w:val="00275C39"/>
    <w:rsid w:val="0027789E"/>
    <w:rsid w:val="00280FE2"/>
    <w:rsid w:val="00284AB6"/>
    <w:rsid w:val="002851AF"/>
    <w:rsid w:val="00285C98"/>
    <w:rsid w:val="00286F88"/>
    <w:rsid w:val="00293B62"/>
    <w:rsid w:val="00294983"/>
    <w:rsid w:val="00295E0C"/>
    <w:rsid w:val="0029760C"/>
    <w:rsid w:val="002A004A"/>
    <w:rsid w:val="002A0177"/>
    <w:rsid w:val="002A2CD9"/>
    <w:rsid w:val="002A61A4"/>
    <w:rsid w:val="002A6756"/>
    <w:rsid w:val="002A6B2F"/>
    <w:rsid w:val="002A6F2A"/>
    <w:rsid w:val="002B1ACC"/>
    <w:rsid w:val="002B5537"/>
    <w:rsid w:val="002C30BE"/>
    <w:rsid w:val="002C57B3"/>
    <w:rsid w:val="002C5946"/>
    <w:rsid w:val="002C72F6"/>
    <w:rsid w:val="002C7FC0"/>
    <w:rsid w:val="002D259E"/>
    <w:rsid w:val="002D43C2"/>
    <w:rsid w:val="002E018B"/>
    <w:rsid w:val="002E17CD"/>
    <w:rsid w:val="002E1DE4"/>
    <w:rsid w:val="002E31ED"/>
    <w:rsid w:val="002E5C48"/>
    <w:rsid w:val="002E6419"/>
    <w:rsid w:val="002E695A"/>
    <w:rsid w:val="002F0A2E"/>
    <w:rsid w:val="002F1E7D"/>
    <w:rsid w:val="002F7EBA"/>
    <w:rsid w:val="00302A7B"/>
    <w:rsid w:val="003111BA"/>
    <w:rsid w:val="0031303B"/>
    <w:rsid w:val="003135F0"/>
    <w:rsid w:val="00314F1A"/>
    <w:rsid w:val="00321721"/>
    <w:rsid w:val="00321A28"/>
    <w:rsid w:val="00324E6B"/>
    <w:rsid w:val="00325922"/>
    <w:rsid w:val="00331DBA"/>
    <w:rsid w:val="00335BC2"/>
    <w:rsid w:val="003361CC"/>
    <w:rsid w:val="00343551"/>
    <w:rsid w:val="00343AB9"/>
    <w:rsid w:val="00345685"/>
    <w:rsid w:val="00353046"/>
    <w:rsid w:val="00354CCD"/>
    <w:rsid w:val="00356600"/>
    <w:rsid w:val="003605A8"/>
    <w:rsid w:val="00360CF7"/>
    <w:rsid w:val="00363D58"/>
    <w:rsid w:val="00365427"/>
    <w:rsid w:val="003679CE"/>
    <w:rsid w:val="003722FA"/>
    <w:rsid w:val="00376762"/>
    <w:rsid w:val="0038026B"/>
    <w:rsid w:val="00381651"/>
    <w:rsid w:val="00382DAC"/>
    <w:rsid w:val="00383052"/>
    <w:rsid w:val="003833C7"/>
    <w:rsid w:val="00384931"/>
    <w:rsid w:val="00393192"/>
    <w:rsid w:val="003950FB"/>
    <w:rsid w:val="0039744F"/>
    <w:rsid w:val="003A065D"/>
    <w:rsid w:val="003A086C"/>
    <w:rsid w:val="003A37B8"/>
    <w:rsid w:val="003A3C70"/>
    <w:rsid w:val="003A573C"/>
    <w:rsid w:val="003B15E6"/>
    <w:rsid w:val="003B3A2D"/>
    <w:rsid w:val="003B7BA6"/>
    <w:rsid w:val="003C17E3"/>
    <w:rsid w:val="003C1D53"/>
    <w:rsid w:val="003C2424"/>
    <w:rsid w:val="003C34AD"/>
    <w:rsid w:val="003C3C26"/>
    <w:rsid w:val="003C69F1"/>
    <w:rsid w:val="003C7D17"/>
    <w:rsid w:val="003D02DA"/>
    <w:rsid w:val="003D5992"/>
    <w:rsid w:val="003D8AD0"/>
    <w:rsid w:val="003E21B5"/>
    <w:rsid w:val="003E2AD3"/>
    <w:rsid w:val="003E55C5"/>
    <w:rsid w:val="003E763A"/>
    <w:rsid w:val="003E7984"/>
    <w:rsid w:val="003F36D7"/>
    <w:rsid w:val="003F6816"/>
    <w:rsid w:val="003F70EC"/>
    <w:rsid w:val="004053FF"/>
    <w:rsid w:val="00405AD2"/>
    <w:rsid w:val="004069AC"/>
    <w:rsid w:val="004127D2"/>
    <w:rsid w:val="00412C5A"/>
    <w:rsid w:val="004149D7"/>
    <w:rsid w:val="004202A3"/>
    <w:rsid w:val="004213A9"/>
    <w:rsid w:val="004314AC"/>
    <w:rsid w:val="00431C4B"/>
    <w:rsid w:val="00432CDB"/>
    <w:rsid w:val="0043306B"/>
    <w:rsid w:val="00435C20"/>
    <w:rsid w:val="00437411"/>
    <w:rsid w:val="00440C8F"/>
    <w:rsid w:val="00441977"/>
    <w:rsid w:val="00441DFE"/>
    <w:rsid w:val="00442E3A"/>
    <w:rsid w:val="0044321C"/>
    <w:rsid w:val="00450523"/>
    <w:rsid w:val="00451E15"/>
    <w:rsid w:val="0045358D"/>
    <w:rsid w:val="00453679"/>
    <w:rsid w:val="00453B92"/>
    <w:rsid w:val="004549F2"/>
    <w:rsid w:val="00457970"/>
    <w:rsid w:val="004611B6"/>
    <w:rsid w:val="004618EB"/>
    <w:rsid w:val="00465E0C"/>
    <w:rsid w:val="004666F3"/>
    <w:rsid w:val="004679BA"/>
    <w:rsid w:val="00470555"/>
    <w:rsid w:val="00480009"/>
    <w:rsid w:val="00483210"/>
    <w:rsid w:val="00485AA4"/>
    <w:rsid w:val="00485F8E"/>
    <w:rsid w:val="00487192"/>
    <w:rsid w:val="00487983"/>
    <w:rsid w:val="004917AD"/>
    <w:rsid w:val="004950D4"/>
    <w:rsid w:val="004972EE"/>
    <w:rsid w:val="004A0DFF"/>
    <w:rsid w:val="004A16D3"/>
    <w:rsid w:val="004A1BE2"/>
    <w:rsid w:val="004A1C4E"/>
    <w:rsid w:val="004A464F"/>
    <w:rsid w:val="004A5760"/>
    <w:rsid w:val="004A5CE2"/>
    <w:rsid w:val="004A5FC7"/>
    <w:rsid w:val="004B0E36"/>
    <w:rsid w:val="004B0E6E"/>
    <w:rsid w:val="004B16F1"/>
    <w:rsid w:val="004B1867"/>
    <w:rsid w:val="004B230D"/>
    <w:rsid w:val="004B3BBA"/>
    <w:rsid w:val="004B3E47"/>
    <w:rsid w:val="004B59D4"/>
    <w:rsid w:val="004B6485"/>
    <w:rsid w:val="004B7F31"/>
    <w:rsid w:val="004C080C"/>
    <w:rsid w:val="004C39D3"/>
    <w:rsid w:val="004C571A"/>
    <w:rsid w:val="004C6DF1"/>
    <w:rsid w:val="004D2ABE"/>
    <w:rsid w:val="004D6924"/>
    <w:rsid w:val="004D7CDB"/>
    <w:rsid w:val="004E0596"/>
    <w:rsid w:val="004E44BD"/>
    <w:rsid w:val="004E4ABF"/>
    <w:rsid w:val="004E51B6"/>
    <w:rsid w:val="004E7A84"/>
    <w:rsid w:val="004F06AE"/>
    <w:rsid w:val="004F47FD"/>
    <w:rsid w:val="004F49D7"/>
    <w:rsid w:val="004F51FA"/>
    <w:rsid w:val="004F5601"/>
    <w:rsid w:val="004F6850"/>
    <w:rsid w:val="00500449"/>
    <w:rsid w:val="00504DE3"/>
    <w:rsid w:val="00511354"/>
    <w:rsid w:val="00514C6C"/>
    <w:rsid w:val="00514EFD"/>
    <w:rsid w:val="00517879"/>
    <w:rsid w:val="00523943"/>
    <w:rsid w:val="005244B2"/>
    <w:rsid w:val="00526EBE"/>
    <w:rsid w:val="00531D46"/>
    <w:rsid w:val="0053522A"/>
    <w:rsid w:val="005355E3"/>
    <w:rsid w:val="005356CF"/>
    <w:rsid w:val="0053748B"/>
    <w:rsid w:val="0053792B"/>
    <w:rsid w:val="0054056B"/>
    <w:rsid w:val="00540F2E"/>
    <w:rsid w:val="00541586"/>
    <w:rsid w:val="00542FC3"/>
    <w:rsid w:val="00543358"/>
    <w:rsid w:val="00545E06"/>
    <w:rsid w:val="00554988"/>
    <w:rsid w:val="00557E90"/>
    <w:rsid w:val="00561037"/>
    <w:rsid w:val="0056294C"/>
    <w:rsid w:val="00562C57"/>
    <w:rsid w:val="00563CED"/>
    <w:rsid w:val="00563EB0"/>
    <w:rsid w:val="005644B3"/>
    <w:rsid w:val="00564E77"/>
    <w:rsid w:val="00566117"/>
    <w:rsid w:val="00566171"/>
    <w:rsid w:val="00574942"/>
    <w:rsid w:val="00574D2F"/>
    <w:rsid w:val="00575C12"/>
    <w:rsid w:val="00576F35"/>
    <w:rsid w:val="00581ED9"/>
    <w:rsid w:val="0058498C"/>
    <w:rsid w:val="00584BD6"/>
    <w:rsid w:val="00584F02"/>
    <w:rsid w:val="00586A0A"/>
    <w:rsid w:val="00587A75"/>
    <w:rsid w:val="005907CC"/>
    <w:rsid w:val="00590810"/>
    <w:rsid w:val="00595411"/>
    <w:rsid w:val="005A123B"/>
    <w:rsid w:val="005A14FA"/>
    <w:rsid w:val="005A3D7A"/>
    <w:rsid w:val="005A3DFB"/>
    <w:rsid w:val="005A3FC4"/>
    <w:rsid w:val="005A4FD9"/>
    <w:rsid w:val="005A6CB9"/>
    <w:rsid w:val="005B04EB"/>
    <w:rsid w:val="005B55AD"/>
    <w:rsid w:val="005B5F53"/>
    <w:rsid w:val="005B6FC6"/>
    <w:rsid w:val="005B73E4"/>
    <w:rsid w:val="005B7DB0"/>
    <w:rsid w:val="005C13E1"/>
    <w:rsid w:val="005C4359"/>
    <w:rsid w:val="005C44B1"/>
    <w:rsid w:val="005C4EB9"/>
    <w:rsid w:val="005C5D0B"/>
    <w:rsid w:val="005C756C"/>
    <w:rsid w:val="005D029F"/>
    <w:rsid w:val="005D0C84"/>
    <w:rsid w:val="005D2376"/>
    <w:rsid w:val="005D7EFF"/>
    <w:rsid w:val="005E0999"/>
    <w:rsid w:val="005E1EBD"/>
    <w:rsid w:val="005E349B"/>
    <w:rsid w:val="005E39D5"/>
    <w:rsid w:val="005E41BB"/>
    <w:rsid w:val="005E4300"/>
    <w:rsid w:val="005E4A3E"/>
    <w:rsid w:val="005E6460"/>
    <w:rsid w:val="005F032A"/>
    <w:rsid w:val="005F15D0"/>
    <w:rsid w:val="005F3A32"/>
    <w:rsid w:val="005F45AC"/>
    <w:rsid w:val="005F4D73"/>
    <w:rsid w:val="005F4D9F"/>
    <w:rsid w:val="005F5BF9"/>
    <w:rsid w:val="006012F8"/>
    <w:rsid w:val="00601A5E"/>
    <w:rsid w:val="006029AE"/>
    <w:rsid w:val="00604535"/>
    <w:rsid w:val="00607227"/>
    <w:rsid w:val="00612AF4"/>
    <w:rsid w:val="00617221"/>
    <w:rsid w:val="00620F60"/>
    <w:rsid w:val="00621787"/>
    <w:rsid w:val="0062193C"/>
    <w:rsid w:val="00622970"/>
    <w:rsid w:val="00623E5D"/>
    <w:rsid w:val="006255CA"/>
    <w:rsid w:val="00632B3F"/>
    <w:rsid w:val="00635521"/>
    <w:rsid w:val="0063559C"/>
    <w:rsid w:val="0064144E"/>
    <w:rsid w:val="006422FD"/>
    <w:rsid w:val="006436EC"/>
    <w:rsid w:val="006450DC"/>
    <w:rsid w:val="006470FC"/>
    <w:rsid w:val="00647B4B"/>
    <w:rsid w:val="0065105A"/>
    <w:rsid w:val="00651D38"/>
    <w:rsid w:val="00652742"/>
    <w:rsid w:val="00655737"/>
    <w:rsid w:val="00655808"/>
    <w:rsid w:val="006566B4"/>
    <w:rsid w:val="0065685D"/>
    <w:rsid w:val="00657E7C"/>
    <w:rsid w:val="006623C6"/>
    <w:rsid w:val="00664DA6"/>
    <w:rsid w:val="00664F67"/>
    <w:rsid w:val="006678D4"/>
    <w:rsid w:val="006709E9"/>
    <w:rsid w:val="00672302"/>
    <w:rsid w:val="00674738"/>
    <w:rsid w:val="00675F74"/>
    <w:rsid w:val="00677A2F"/>
    <w:rsid w:val="00681147"/>
    <w:rsid w:val="00681818"/>
    <w:rsid w:val="00683BD6"/>
    <w:rsid w:val="00687667"/>
    <w:rsid w:val="006905F6"/>
    <w:rsid w:val="00691965"/>
    <w:rsid w:val="00691A60"/>
    <w:rsid w:val="00691B22"/>
    <w:rsid w:val="00692B77"/>
    <w:rsid w:val="00692BA9"/>
    <w:rsid w:val="0069593D"/>
    <w:rsid w:val="00696E19"/>
    <w:rsid w:val="00697AF4"/>
    <w:rsid w:val="006A2CB9"/>
    <w:rsid w:val="006A2F5D"/>
    <w:rsid w:val="006A534F"/>
    <w:rsid w:val="006A6E2A"/>
    <w:rsid w:val="006B1892"/>
    <w:rsid w:val="006B2472"/>
    <w:rsid w:val="006B2C4E"/>
    <w:rsid w:val="006B4DAF"/>
    <w:rsid w:val="006C090E"/>
    <w:rsid w:val="006C1BE6"/>
    <w:rsid w:val="006C2FC5"/>
    <w:rsid w:val="006C5A8C"/>
    <w:rsid w:val="006C5EE1"/>
    <w:rsid w:val="006D3E4E"/>
    <w:rsid w:val="006D715A"/>
    <w:rsid w:val="006E0468"/>
    <w:rsid w:val="006E0FA4"/>
    <w:rsid w:val="006E4896"/>
    <w:rsid w:val="006E491A"/>
    <w:rsid w:val="006E5125"/>
    <w:rsid w:val="006E71D5"/>
    <w:rsid w:val="006F1D6C"/>
    <w:rsid w:val="006F2EA2"/>
    <w:rsid w:val="006F3F29"/>
    <w:rsid w:val="006F4750"/>
    <w:rsid w:val="006F6022"/>
    <w:rsid w:val="006F6869"/>
    <w:rsid w:val="006F6BCB"/>
    <w:rsid w:val="007012DE"/>
    <w:rsid w:val="007029C0"/>
    <w:rsid w:val="00703821"/>
    <w:rsid w:val="0070440F"/>
    <w:rsid w:val="007075F2"/>
    <w:rsid w:val="00710962"/>
    <w:rsid w:val="0071370A"/>
    <w:rsid w:val="00713B3A"/>
    <w:rsid w:val="007158D5"/>
    <w:rsid w:val="0071643E"/>
    <w:rsid w:val="00716E60"/>
    <w:rsid w:val="007172BD"/>
    <w:rsid w:val="00720197"/>
    <w:rsid w:val="007205AA"/>
    <w:rsid w:val="007223CC"/>
    <w:rsid w:val="00725DF5"/>
    <w:rsid w:val="00727468"/>
    <w:rsid w:val="00731B11"/>
    <w:rsid w:val="00734672"/>
    <w:rsid w:val="00737030"/>
    <w:rsid w:val="007377C6"/>
    <w:rsid w:val="00740622"/>
    <w:rsid w:val="0074200C"/>
    <w:rsid w:val="007440F1"/>
    <w:rsid w:val="007467B2"/>
    <w:rsid w:val="00751010"/>
    <w:rsid w:val="00751106"/>
    <w:rsid w:val="00751422"/>
    <w:rsid w:val="00755521"/>
    <w:rsid w:val="007576EE"/>
    <w:rsid w:val="007661BA"/>
    <w:rsid w:val="007678A4"/>
    <w:rsid w:val="00767FA7"/>
    <w:rsid w:val="007716AB"/>
    <w:rsid w:val="00771996"/>
    <w:rsid w:val="00771C56"/>
    <w:rsid w:val="0077223E"/>
    <w:rsid w:val="00772D46"/>
    <w:rsid w:val="00772E9C"/>
    <w:rsid w:val="007740FD"/>
    <w:rsid w:val="007759D3"/>
    <w:rsid w:val="00780432"/>
    <w:rsid w:val="00783EEF"/>
    <w:rsid w:val="00785A8E"/>
    <w:rsid w:val="0078693E"/>
    <w:rsid w:val="00786DD3"/>
    <w:rsid w:val="00794635"/>
    <w:rsid w:val="00797758"/>
    <w:rsid w:val="007A02D6"/>
    <w:rsid w:val="007A0AEF"/>
    <w:rsid w:val="007A28D5"/>
    <w:rsid w:val="007A5C89"/>
    <w:rsid w:val="007A6D11"/>
    <w:rsid w:val="007A70E4"/>
    <w:rsid w:val="007B013C"/>
    <w:rsid w:val="007B0F5A"/>
    <w:rsid w:val="007B10FE"/>
    <w:rsid w:val="007B5205"/>
    <w:rsid w:val="007B559C"/>
    <w:rsid w:val="007B5705"/>
    <w:rsid w:val="007B7924"/>
    <w:rsid w:val="007C01C8"/>
    <w:rsid w:val="007C22A0"/>
    <w:rsid w:val="007C67F1"/>
    <w:rsid w:val="007C6883"/>
    <w:rsid w:val="007D0235"/>
    <w:rsid w:val="007D447C"/>
    <w:rsid w:val="007D537F"/>
    <w:rsid w:val="007D5578"/>
    <w:rsid w:val="007D7FAE"/>
    <w:rsid w:val="007E05B2"/>
    <w:rsid w:val="007E1F8C"/>
    <w:rsid w:val="007E32A0"/>
    <w:rsid w:val="007E3826"/>
    <w:rsid w:val="007F1AA9"/>
    <w:rsid w:val="007F1F1A"/>
    <w:rsid w:val="007F25A6"/>
    <w:rsid w:val="007F3D61"/>
    <w:rsid w:val="007F459F"/>
    <w:rsid w:val="007F6C52"/>
    <w:rsid w:val="007F75D8"/>
    <w:rsid w:val="00801554"/>
    <w:rsid w:val="00801C06"/>
    <w:rsid w:val="00801C8B"/>
    <w:rsid w:val="00804774"/>
    <w:rsid w:val="008048FD"/>
    <w:rsid w:val="00804D3F"/>
    <w:rsid w:val="0080503A"/>
    <w:rsid w:val="008073E0"/>
    <w:rsid w:val="00807954"/>
    <w:rsid w:val="00810120"/>
    <w:rsid w:val="00810507"/>
    <w:rsid w:val="00811E9D"/>
    <w:rsid w:val="008123F1"/>
    <w:rsid w:val="008178C9"/>
    <w:rsid w:val="00823765"/>
    <w:rsid w:val="00824558"/>
    <w:rsid w:val="00824D28"/>
    <w:rsid w:val="008260B1"/>
    <w:rsid w:val="00827784"/>
    <w:rsid w:val="00831ADD"/>
    <w:rsid w:val="0083266D"/>
    <w:rsid w:val="008341CE"/>
    <w:rsid w:val="00835BC6"/>
    <w:rsid w:val="008377C3"/>
    <w:rsid w:val="00840DD2"/>
    <w:rsid w:val="00841459"/>
    <w:rsid w:val="00841A9B"/>
    <w:rsid w:val="00843716"/>
    <w:rsid w:val="0084465B"/>
    <w:rsid w:val="00844F8B"/>
    <w:rsid w:val="00846288"/>
    <w:rsid w:val="008500FB"/>
    <w:rsid w:val="00850AB7"/>
    <w:rsid w:val="008523A0"/>
    <w:rsid w:val="008523E3"/>
    <w:rsid w:val="00852DC2"/>
    <w:rsid w:val="008545F9"/>
    <w:rsid w:val="008552ED"/>
    <w:rsid w:val="008608E8"/>
    <w:rsid w:val="00862813"/>
    <w:rsid w:val="00865135"/>
    <w:rsid w:val="00865A58"/>
    <w:rsid w:val="00870154"/>
    <w:rsid w:val="00871B3A"/>
    <w:rsid w:val="008722E7"/>
    <w:rsid w:val="008724DB"/>
    <w:rsid w:val="00872BF8"/>
    <w:rsid w:val="0088048C"/>
    <w:rsid w:val="008804B3"/>
    <w:rsid w:val="00885C54"/>
    <w:rsid w:val="008868DD"/>
    <w:rsid w:val="008873E3"/>
    <w:rsid w:val="0089034E"/>
    <w:rsid w:val="00893313"/>
    <w:rsid w:val="008A5BF6"/>
    <w:rsid w:val="008A6253"/>
    <w:rsid w:val="008A6CDE"/>
    <w:rsid w:val="008B6F7C"/>
    <w:rsid w:val="008C1EC9"/>
    <w:rsid w:val="008C3712"/>
    <w:rsid w:val="008C4DC3"/>
    <w:rsid w:val="008C6DE8"/>
    <w:rsid w:val="008C7BD6"/>
    <w:rsid w:val="008D1058"/>
    <w:rsid w:val="008D5DA5"/>
    <w:rsid w:val="008D7887"/>
    <w:rsid w:val="008E1F5D"/>
    <w:rsid w:val="008E292F"/>
    <w:rsid w:val="008E42B5"/>
    <w:rsid w:val="008E4D07"/>
    <w:rsid w:val="008E58CB"/>
    <w:rsid w:val="008F4B33"/>
    <w:rsid w:val="008F52AD"/>
    <w:rsid w:val="008F5F33"/>
    <w:rsid w:val="008F647A"/>
    <w:rsid w:val="00902483"/>
    <w:rsid w:val="009052AC"/>
    <w:rsid w:val="00906C9F"/>
    <w:rsid w:val="009073BE"/>
    <w:rsid w:val="00910625"/>
    <w:rsid w:val="00910DDE"/>
    <w:rsid w:val="00911DCD"/>
    <w:rsid w:val="00912592"/>
    <w:rsid w:val="009132AF"/>
    <w:rsid w:val="00914794"/>
    <w:rsid w:val="009152C8"/>
    <w:rsid w:val="009167FA"/>
    <w:rsid w:val="009173FE"/>
    <w:rsid w:val="0092265D"/>
    <w:rsid w:val="00923090"/>
    <w:rsid w:val="00924324"/>
    <w:rsid w:val="00930607"/>
    <w:rsid w:val="00931309"/>
    <w:rsid w:val="0093715C"/>
    <w:rsid w:val="009457DF"/>
    <w:rsid w:val="0095072C"/>
    <w:rsid w:val="00951751"/>
    <w:rsid w:val="00951F99"/>
    <w:rsid w:val="00951FD5"/>
    <w:rsid w:val="0095352B"/>
    <w:rsid w:val="00953B4A"/>
    <w:rsid w:val="009562A0"/>
    <w:rsid w:val="009576DC"/>
    <w:rsid w:val="009604DD"/>
    <w:rsid w:val="00961607"/>
    <w:rsid w:val="00962C77"/>
    <w:rsid w:val="0096316E"/>
    <w:rsid w:val="009645C2"/>
    <w:rsid w:val="00964CEF"/>
    <w:rsid w:val="00965523"/>
    <w:rsid w:val="00967247"/>
    <w:rsid w:val="00970134"/>
    <w:rsid w:val="009703E3"/>
    <w:rsid w:val="00971712"/>
    <w:rsid w:val="00971AFD"/>
    <w:rsid w:val="00971DAD"/>
    <w:rsid w:val="00980377"/>
    <w:rsid w:val="0098264A"/>
    <w:rsid w:val="00982D0B"/>
    <w:rsid w:val="00987B87"/>
    <w:rsid w:val="00992126"/>
    <w:rsid w:val="009925D3"/>
    <w:rsid w:val="00995C91"/>
    <w:rsid w:val="00996FDC"/>
    <w:rsid w:val="00997CDF"/>
    <w:rsid w:val="00997FDF"/>
    <w:rsid w:val="009A1850"/>
    <w:rsid w:val="009A38E4"/>
    <w:rsid w:val="009A4F4F"/>
    <w:rsid w:val="009A75CA"/>
    <w:rsid w:val="009B05F2"/>
    <w:rsid w:val="009B58B8"/>
    <w:rsid w:val="009B5DF5"/>
    <w:rsid w:val="009B7B56"/>
    <w:rsid w:val="009C0F3E"/>
    <w:rsid w:val="009C6CDF"/>
    <w:rsid w:val="009D0D0E"/>
    <w:rsid w:val="009D2396"/>
    <w:rsid w:val="009D44FD"/>
    <w:rsid w:val="009D6294"/>
    <w:rsid w:val="009D630E"/>
    <w:rsid w:val="009D668E"/>
    <w:rsid w:val="009D77C6"/>
    <w:rsid w:val="009E537D"/>
    <w:rsid w:val="009E58CF"/>
    <w:rsid w:val="009E68E2"/>
    <w:rsid w:val="009E7086"/>
    <w:rsid w:val="009E7673"/>
    <w:rsid w:val="009F2EDD"/>
    <w:rsid w:val="009F4649"/>
    <w:rsid w:val="009F541A"/>
    <w:rsid w:val="009F5685"/>
    <w:rsid w:val="009F5740"/>
    <w:rsid w:val="009F666A"/>
    <w:rsid w:val="00A0228C"/>
    <w:rsid w:val="00A04146"/>
    <w:rsid w:val="00A055BD"/>
    <w:rsid w:val="00A10130"/>
    <w:rsid w:val="00A1062F"/>
    <w:rsid w:val="00A140C0"/>
    <w:rsid w:val="00A14CA3"/>
    <w:rsid w:val="00A15E30"/>
    <w:rsid w:val="00A23F3E"/>
    <w:rsid w:val="00A26E32"/>
    <w:rsid w:val="00A313F5"/>
    <w:rsid w:val="00A3184B"/>
    <w:rsid w:val="00A363FF"/>
    <w:rsid w:val="00A37700"/>
    <w:rsid w:val="00A4215E"/>
    <w:rsid w:val="00A43169"/>
    <w:rsid w:val="00A4454B"/>
    <w:rsid w:val="00A44CA0"/>
    <w:rsid w:val="00A539FF"/>
    <w:rsid w:val="00A55429"/>
    <w:rsid w:val="00A56DE7"/>
    <w:rsid w:val="00A6001A"/>
    <w:rsid w:val="00A61040"/>
    <w:rsid w:val="00A61298"/>
    <w:rsid w:val="00A616C5"/>
    <w:rsid w:val="00A6305D"/>
    <w:rsid w:val="00A64825"/>
    <w:rsid w:val="00A64C04"/>
    <w:rsid w:val="00A70D44"/>
    <w:rsid w:val="00A71C71"/>
    <w:rsid w:val="00A71F7C"/>
    <w:rsid w:val="00A746C5"/>
    <w:rsid w:val="00A843BB"/>
    <w:rsid w:val="00A86F55"/>
    <w:rsid w:val="00A90A39"/>
    <w:rsid w:val="00A90B57"/>
    <w:rsid w:val="00A94725"/>
    <w:rsid w:val="00A97755"/>
    <w:rsid w:val="00A97F9F"/>
    <w:rsid w:val="00AA190E"/>
    <w:rsid w:val="00AA3255"/>
    <w:rsid w:val="00AA4C2E"/>
    <w:rsid w:val="00AA588D"/>
    <w:rsid w:val="00AA5E5E"/>
    <w:rsid w:val="00AA6F90"/>
    <w:rsid w:val="00AB1E8D"/>
    <w:rsid w:val="00AB2080"/>
    <w:rsid w:val="00AB2B59"/>
    <w:rsid w:val="00AB7A9D"/>
    <w:rsid w:val="00AB7C5C"/>
    <w:rsid w:val="00AC23FB"/>
    <w:rsid w:val="00AC50BA"/>
    <w:rsid w:val="00AC513F"/>
    <w:rsid w:val="00AD028D"/>
    <w:rsid w:val="00AD2620"/>
    <w:rsid w:val="00AD2F8E"/>
    <w:rsid w:val="00AD3327"/>
    <w:rsid w:val="00AD38D3"/>
    <w:rsid w:val="00AD5CE6"/>
    <w:rsid w:val="00AD7F65"/>
    <w:rsid w:val="00AE2674"/>
    <w:rsid w:val="00AE6106"/>
    <w:rsid w:val="00AF03F5"/>
    <w:rsid w:val="00AF3C3E"/>
    <w:rsid w:val="00AF4B52"/>
    <w:rsid w:val="00AF568E"/>
    <w:rsid w:val="00AF674C"/>
    <w:rsid w:val="00B01D13"/>
    <w:rsid w:val="00B0249C"/>
    <w:rsid w:val="00B02FEB"/>
    <w:rsid w:val="00B05A5E"/>
    <w:rsid w:val="00B05B00"/>
    <w:rsid w:val="00B05FA8"/>
    <w:rsid w:val="00B077CF"/>
    <w:rsid w:val="00B10A02"/>
    <w:rsid w:val="00B1442C"/>
    <w:rsid w:val="00B15BD3"/>
    <w:rsid w:val="00B22A7C"/>
    <w:rsid w:val="00B24A54"/>
    <w:rsid w:val="00B30FA7"/>
    <w:rsid w:val="00B3370E"/>
    <w:rsid w:val="00B35BB2"/>
    <w:rsid w:val="00B377B9"/>
    <w:rsid w:val="00B40740"/>
    <w:rsid w:val="00B41F43"/>
    <w:rsid w:val="00B43AAF"/>
    <w:rsid w:val="00B45226"/>
    <w:rsid w:val="00B502F1"/>
    <w:rsid w:val="00B50BEE"/>
    <w:rsid w:val="00B5255B"/>
    <w:rsid w:val="00B526AF"/>
    <w:rsid w:val="00B533A1"/>
    <w:rsid w:val="00B57250"/>
    <w:rsid w:val="00B609A1"/>
    <w:rsid w:val="00B6281D"/>
    <w:rsid w:val="00B6304A"/>
    <w:rsid w:val="00B63103"/>
    <w:rsid w:val="00B64A69"/>
    <w:rsid w:val="00B64B2F"/>
    <w:rsid w:val="00B72D0F"/>
    <w:rsid w:val="00B73E1C"/>
    <w:rsid w:val="00B75ED4"/>
    <w:rsid w:val="00B771A5"/>
    <w:rsid w:val="00B8000B"/>
    <w:rsid w:val="00B856C0"/>
    <w:rsid w:val="00B8576F"/>
    <w:rsid w:val="00B87284"/>
    <w:rsid w:val="00B8749B"/>
    <w:rsid w:val="00B87687"/>
    <w:rsid w:val="00B92F9C"/>
    <w:rsid w:val="00B93BF8"/>
    <w:rsid w:val="00B9770C"/>
    <w:rsid w:val="00BA04DA"/>
    <w:rsid w:val="00BA24AB"/>
    <w:rsid w:val="00BA24D3"/>
    <w:rsid w:val="00BA3B25"/>
    <w:rsid w:val="00BA4DE5"/>
    <w:rsid w:val="00BA6D6B"/>
    <w:rsid w:val="00BB1B37"/>
    <w:rsid w:val="00BB1D94"/>
    <w:rsid w:val="00BB1EB6"/>
    <w:rsid w:val="00BC323F"/>
    <w:rsid w:val="00BD27E3"/>
    <w:rsid w:val="00BD3C1C"/>
    <w:rsid w:val="00BD5593"/>
    <w:rsid w:val="00BD70E0"/>
    <w:rsid w:val="00BE09BA"/>
    <w:rsid w:val="00BE0E6D"/>
    <w:rsid w:val="00BE1CE0"/>
    <w:rsid w:val="00BE4B16"/>
    <w:rsid w:val="00BE4DDD"/>
    <w:rsid w:val="00BE5554"/>
    <w:rsid w:val="00BE6E38"/>
    <w:rsid w:val="00BE6ED8"/>
    <w:rsid w:val="00BF0E42"/>
    <w:rsid w:val="00BF33CE"/>
    <w:rsid w:val="00C019F1"/>
    <w:rsid w:val="00C029B6"/>
    <w:rsid w:val="00C02CFF"/>
    <w:rsid w:val="00C14D4B"/>
    <w:rsid w:val="00C17B28"/>
    <w:rsid w:val="00C17FF6"/>
    <w:rsid w:val="00C20CE7"/>
    <w:rsid w:val="00C21AA3"/>
    <w:rsid w:val="00C2377F"/>
    <w:rsid w:val="00C269A5"/>
    <w:rsid w:val="00C2717E"/>
    <w:rsid w:val="00C301AF"/>
    <w:rsid w:val="00C325F8"/>
    <w:rsid w:val="00C33B20"/>
    <w:rsid w:val="00C342BE"/>
    <w:rsid w:val="00C346DC"/>
    <w:rsid w:val="00C37E23"/>
    <w:rsid w:val="00C41092"/>
    <w:rsid w:val="00C41242"/>
    <w:rsid w:val="00C41986"/>
    <w:rsid w:val="00C42D40"/>
    <w:rsid w:val="00C453A5"/>
    <w:rsid w:val="00C46F8E"/>
    <w:rsid w:val="00C50BB2"/>
    <w:rsid w:val="00C51FD3"/>
    <w:rsid w:val="00C54014"/>
    <w:rsid w:val="00C544FC"/>
    <w:rsid w:val="00C566B3"/>
    <w:rsid w:val="00C5739C"/>
    <w:rsid w:val="00C65560"/>
    <w:rsid w:val="00C657CC"/>
    <w:rsid w:val="00C65C88"/>
    <w:rsid w:val="00C708CD"/>
    <w:rsid w:val="00C7155A"/>
    <w:rsid w:val="00C71F0A"/>
    <w:rsid w:val="00C75B72"/>
    <w:rsid w:val="00C80BF2"/>
    <w:rsid w:val="00C80CA9"/>
    <w:rsid w:val="00C820A6"/>
    <w:rsid w:val="00C83109"/>
    <w:rsid w:val="00C8363B"/>
    <w:rsid w:val="00C84F0D"/>
    <w:rsid w:val="00C87B2B"/>
    <w:rsid w:val="00C954D9"/>
    <w:rsid w:val="00CA1026"/>
    <w:rsid w:val="00CA1BDE"/>
    <w:rsid w:val="00CA603E"/>
    <w:rsid w:val="00CA6D6E"/>
    <w:rsid w:val="00CB2003"/>
    <w:rsid w:val="00CB43A6"/>
    <w:rsid w:val="00CB5152"/>
    <w:rsid w:val="00CC07F6"/>
    <w:rsid w:val="00CC5635"/>
    <w:rsid w:val="00CD47D0"/>
    <w:rsid w:val="00CD6A2C"/>
    <w:rsid w:val="00CD776D"/>
    <w:rsid w:val="00CE3C22"/>
    <w:rsid w:val="00CE7A8E"/>
    <w:rsid w:val="00CF006C"/>
    <w:rsid w:val="00CF4AFF"/>
    <w:rsid w:val="00CF5F95"/>
    <w:rsid w:val="00CF789E"/>
    <w:rsid w:val="00D01D26"/>
    <w:rsid w:val="00D03441"/>
    <w:rsid w:val="00D04BB3"/>
    <w:rsid w:val="00D10D63"/>
    <w:rsid w:val="00D11BB5"/>
    <w:rsid w:val="00D128DD"/>
    <w:rsid w:val="00D130D7"/>
    <w:rsid w:val="00D16A8C"/>
    <w:rsid w:val="00D170F3"/>
    <w:rsid w:val="00D22B6D"/>
    <w:rsid w:val="00D22EF5"/>
    <w:rsid w:val="00D23CC4"/>
    <w:rsid w:val="00D271D1"/>
    <w:rsid w:val="00D27EE9"/>
    <w:rsid w:val="00D3015D"/>
    <w:rsid w:val="00D317B7"/>
    <w:rsid w:val="00D31CBE"/>
    <w:rsid w:val="00D3261F"/>
    <w:rsid w:val="00D33FD8"/>
    <w:rsid w:val="00D34710"/>
    <w:rsid w:val="00D36705"/>
    <w:rsid w:val="00D40DE1"/>
    <w:rsid w:val="00D417EE"/>
    <w:rsid w:val="00D45623"/>
    <w:rsid w:val="00D525BA"/>
    <w:rsid w:val="00D56CAB"/>
    <w:rsid w:val="00D61CC9"/>
    <w:rsid w:val="00D6330B"/>
    <w:rsid w:val="00D65AD0"/>
    <w:rsid w:val="00D65C3D"/>
    <w:rsid w:val="00D66C5A"/>
    <w:rsid w:val="00D66E2D"/>
    <w:rsid w:val="00D70267"/>
    <w:rsid w:val="00D70637"/>
    <w:rsid w:val="00D71860"/>
    <w:rsid w:val="00D81901"/>
    <w:rsid w:val="00D826C6"/>
    <w:rsid w:val="00D835B3"/>
    <w:rsid w:val="00D8503C"/>
    <w:rsid w:val="00D86EED"/>
    <w:rsid w:val="00D90C8F"/>
    <w:rsid w:val="00D919B1"/>
    <w:rsid w:val="00D91BD7"/>
    <w:rsid w:val="00D9237B"/>
    <w:rsid w:val="00D92C62"/>
    <w:rsid w:val="00DA1679"/>
    <w:rsid w:val="00DA2668"/>
    <w:rsid w:val="00DA2B82"/>
    <w:rsid w:val="00DA4C07"/>
    <w:rsid w:val="00DA5C82"/>
    <w:rsid w:val="00DA7269"/>
    <w:rsid w:val="00DB2631"/>
    <w:rsid w:val="00DB2F80"/>
    <w:rsid w:val="00DB404D"/>
    <w:rsid w:val="00DB45D1"/>
    <w:rsid w:val="00DB4854"/>
    <w:rsid w:val="00DB72FF"/>
    <w:rsid w:val="00DC360B"/>
    <w:rsid w:val="00DC3675"/>
    <w:rsid w:val="00DC5AB5"/>
    <w:rsid w:val="00DC635B"/>
    <w:rsid w:val="00DD0183"/>
    <w:rsid w:val="00DD124C"/>
    <w:rsid w:val="00DD15C9"/>
    <w:rsid w:val="00DD1AA5"/>
    <w:rsid w:val="00DD3F28"/>
    <w:rsid w:val="00DE1C53"/>
    <w:rsid w:val="00DE2AC1"/>
    <w:rsid w:val="00DE2AC2"/>
    <w:rsid w:val="00DE4A1E"/>
    <w:rsid w:val="00DE5148"/>
    <w:rsid w:val="00DE6328"/>
    <w:rsid w:val="00DE72BB"/>
    <w:rsid w:val="00DF07DD"/>
    <w:rsid w:val="00DF146C"/>
    <w:rsid w:val="00DF1F7E"/>
    <w:rsid w:val="00DF20C7"/>
    <w:rsid w:val="00E014B5"/>
    <w:rsid w:val="00E0489A"/>
    <w:rsid w:val="00E04EE5"/>
    <w:rsid w:val="00E05BFC"/>
    <w:rsid w:val="00E05C21"/>
    <w:rsid w:val="00E067A1"/>
    <w:rsid w:val="00E07268"/>
    <w:rsid w:val="00E12A53"/>
    <w:rsid w:val="00E142DC"/>
    <w:rsid w:val="00E15118"/>
    <w:rsid w:val="00E15F20"/>
    <w:rsid w:val="00E20DF2"/>
    <w:rsid w:val="00E212A0"/>
    <w:rsid w:val="00E26612"/>
    <w:rsid w:val="00E31804"/>
    <w:rsid w:val="00E37E2C"/>
    <w:rsid w:val="00E37F02"/>
    <w:rsid w:val="00E41B67"/>
    <w:rsid w:val="00E46EFE"/>
    <w:rsid w:val="00E47499"/>
    <w:rsid w:val="00E47648"/>
    <w:rsid w:val="00E517C7"/>
    <w:rsid w:val="00E5264A"/>
    <w:rsid w:val="00E52CDC"/>
    <w:rsid w:val="00E554C7"/>
    <w:rsid w:val="00E558EF"/>
    <w:rsid w:val="00E579B5"/>
    <w:rsid w:val="00E60E11"/>
    <w:rsid w:val="00E61521"/>
    <w:rsid w:val="00E61D42"/>
    <w:rsid w:val="00E65447"/>
    <w:rsid w:val="00E7120C"/>
    <w:rsid w:val="00E80183"/>
    <w:rsid w:val="00E81E3E"/>
    <w:rsid w:val="00E85711"/>
    <w:rsid w:val="00E86F9A"/>
    <w:rsid w:val="00E9218B"/>
    <w:rsid w:val="00E938A4"/>
    <w:rsid w:val="00E93C94"/>
    <w:rsid w:val="00E9567B"/>
    <w:rsid w:val="00E96486"/>
    <w:rsid w:val="00EA2B36"/>
    <w:rsid w:val="00EA33B8"/>
    <w:rsid w:val="00EB1313"/>
    <w:rsid w:val="00EB2BC1"/>
    <w:rsid w:val="00EB3A0C"/>
    <w:rsid w:val="00EB5DF6"/>
    <w:rsid w:val="00EB7F66"/>
    <w:rsid w:val="00EC07E4"/>
    <w:rsid w:val="00EC13BB"/>
    <w:rsid w:val="00EC2A35"/>
    <w:rsid w:val="00EC3246"/>
    <w:rsid w:val="00EC3558"/>
    <w:rsid w:val="00EC5C3D"/>
    <w:rsid w:val="00EC5ECB"/>
    <w:rsid w:val="00EC67DD"/>
    <w:rsid w:val="00ED30C8"/>
    <w:rsid w:val="00ED35E2"/>
    <w:rsid w:val="00ED531C"/>
    <w:rsid w:val="00ED7A16"/>
    <w:rsid w:val="00ED7F84"/>
    <w:rsid w:val="00EE0883"/>
    <w:rsid w:val="00EE2450"/>
    <w:rsid w:val="00EE2F9D"/>
    <w:rsid w:val="00EE5F20"/>
    <w:rsid w:val="00EE62B2"/>
    <w:rsid w:val="00EE6F9D"/>
    <w:rsid w:val="00EE7323"/>
    <w:rsid w:val="00EE7FA1"/>
    <w:rsid w:val="00EF0923"/>
    <w:rsid w:val="00EF524B"/>
    <w:rsid w:val="00EF574E"/>
    <w:rsid w:val="00EF6580"/>
    <w:rsid w:val="00EF7F91"/>
    <w:rsid w:val="00F01DE9"/>
    <w:rsid w:val="00F02906"/>
    <w:rsid w:val="00F0415A"/>
    <w:rsid w:val="00F06883"/>
    <w:rsid w:val="00F1088A"/>
    <w:rsid w:val="00F10FB3"/>
    <w:rsid w:val="00F113D0"/>
    <w:rsid w:val="00F14B59"/>
    <w:rsid w:val="00F20D94"/>
    <w:rsid w:val="00F21155"/>
    <w:rsid w:val="00F2134C"/>
    <w:rsid w:val="00F23488"/>
    <w:rsid w:val="00F24717"/>
    <w:rsid w:val="00F30E26"/>
    <w:rsid w:val="00F31397"/>
    <w:rsid w:val="00F359FF"/>
    <w:rsid w:val="00F40016"/>
    <w:rsid w:val="00F40AF0"/>
    <w:rsid w:val="00F40CA4"/>
    <w:rsid w:val="00F41E29"/>
    <w:rsid w:val="00F511A1"/>
    <w:rsid w:val="00F51249"/>
    <w:rsid w:val="00F53914"/>
    <w:rsid w:val="00F566AE"/>
    <w:rsid w:val="00F5732C"/>
    <w:rsid w:val="00F60DB5"/>
    <w:rsid w:val="00F6236E"/>
    <w:rsid w:val="00F62D75"/>
    <w:rsid w:val="00F704A9"/>
    <w:rsid w:val="00F70A5E"/>
    <w:rsid w:val="00F7636E"/>
    <w:rsid w:val="00F7737E"/>
    <w:rsid w:val="00F80432"/>
    <w:rsid w:val="00F821E3"/>
    <w:rsid w:val="00F83A66"/>
    <w:rsid w:val="00F87C4B"/>
    <w:rsid w:val="00F87DFE"/>
    <w:rsid w:val="00F917C3"/>
    <w:rsid w:val="00F9274D"/>
    <w:rsid w:val="00FA2B48"/>
    <w:rsid w:val="00FA4356"/>
    <w:rsid w:val="00FA75C5"/>
    <w:rsid w:val="00FB0E9E"/>
    <w:rsid w:val="00FB19D1"/>
    <w:rsid w:val="00FB1F27"/>
    <w:rsid w:val="00FB4DA5"/>
    <w:rsid w:val="00FB5A89"/>
    <w:rsid w:val="00FB5AC1"/>
    <w:rsid w:val="00FB5FF9"/>
    <w:rsid w:val="00FB79FB"/>
    <w:rsid w:val="00FC05CC"/>
    <w:rsid w:val="00FC1027"/>
    <w:rsid w:val="00FC4435"/>
    <w:rsid w:val="00FC4C56"/>
    <w:rsid w:val="00FC4E22"/>
    <w:rsid w:val="00FC5007"/>
    <w:rsid w:val="00FC61FB"/>
    <w:rsid w:val="00FD0CCF"/>
    <w:rsid w:val="00FD2B8C"/>
    <w:rsid w:val="00FD41F3"/>
    <w:rsid w:val="00FD4683"/>
    <w:rsid w:val="00FD4A4D"/>
    <w:rsid w:val="00FD580D"/>
    <w:rsid w:val="00FD5839"/>
    <w:rsid w:val="00FD6E31"/>
    <w:rsid w:val="00FD757B"/>
    <w:rsid w:val="00FE75D5"/>
    <w:rsid w:val="00FF06EA"/>
    <w:rsid w:val="00FF1D69"/>
    <w:rsid w:val="00FF2EEC"/>
    <w:rsid w:val="00FF3BC3"/>
    <w:rsid w:val="00FF571E"/>
    <w:rsid w:val="00FF5D92"/>
    <w:rsid w:val="011A02BC"/>
    <w:rsid w:val="011A9FB9"/>
    <w:rsid w:val="0134563B"/>
    <w:rsid w:val="013500E9"/>
    <w:rsid w:val="013D45AF"/>
    <w:rsid w:val="016C9526"/>
    <w:rsid w:val="0175F6A2"/>
    <w:rsid w:val="019EEEFB"/>
    <w:rsid w:val="01A10F5F"/>
    <w:rsid w:val="01E38ED9"/>
    <w:rsid w:val="021C804C"/>
    <w:rsid w:val="028C8401"/>
    <w:rsid w:val="029B6C23"/>
    <w:rsid w:val="02E44840"/>
    <w:rsid w:val="0343A90E"/>
    <w:rsid w:val="04163BED"/>
    <w:rsid w:val="0442E967"/>
    <w:rsid w:val="0455A58F"/>
    <w:rsid w:val="0507B2A5"/>
    <w:rsid w:val="050CDB98"/>
    <w:rsid w:val="05541382"/>
    <w:rsid w:val="055433BB"/>
    <w:rsid w:val="056F4CB6"/>
    <w:rsid w:val="0594E4EF"/>
    <w:rsid w:val="05A1973D"/>
    <w:rsid w:val="068C65E0"/>
    <w:rsid w:val="0760EA36"/>
    <w:rsid w:val="07DBD6AA"/>
    <w:rsid w:val="07F5D2ED"/>
    <w:rsid w:val="07F82769"/>
    <w:rsid w:val="07FB7AEA"/>
    <w:rsid w:val="08605349"/>
    <w:rsid w:val="08C36D92"/>
    <w:rsid w:val="09B8DA3E"/>
    <w:rsid w:val="09C275EA"/>
    <w:rsid w:val="0A499D5E"/>
    <w:rsid w:val="0A4F0FA9"/>
    <w:rsid w:val="0A736498"/>
    <w:rsid w:val="0B0B0F76"/>
    <w:rsid w:val="0B11E360"/>
    <w:rsid w:val="0B1E3EFA"/>
    <w:rsid w:val="0B1F968C"/>
    <w:rsid w:val="0BA6B646"/>
    <w:rsid w:val="0C18FCCC"/>
    <w:rsid w:val="0C4B01E9"/>
    <w:rsid w:val="0C7C22B8"/>
    <w:rsid w:val="0CC94410"/>
    <w:rsid w:val="0DBE69F8"/>
    <w:rsid w:val="0DCFB042"/>
    <w:rsid w:val="0E4C13D8"/>
    <w:rsid w:val="0E8A9BB5"/>
    <w:rsid w:val="0F31B3B5"/>
    <w:rsid w:val="0F54999D"/>
    <w:rsid w:val="0F84C6DF"/>
    <w:rsid w:val="0FDE3BD9"/>
    <w:rsid w:val="1028AD23"/>
    <w:rsid w:val="1038F693"/>
    <w:rsid w:val="10505888"/>
    <w:rsid w:val="108A247E"/>
    <w:rsid w:val="10C66CA5"/>
    <w:rsid w:val="111BB08F"/>
    <w:rsid w:val="113B4A21"/>
    <w:rsid w:val="11658966"/>
    <w:rsid w:val="1189EC94"/>
    <w:rsid w:val="118D35B7"/>
    <w:rsid w:val="11DE1894"/>
    <w:rsid w:val="120A9EAE"/>
    <w:rsid w:val="12146C1B"/>
    <w:rsid w:val="13B764F3"/>
    <w:rsid w:val="143D82E9"/>
    <w:rsid w:val="14ED7E52"/>
    <w:rsid w:val="1508A985"/>
    <w:rsid w:val="1514C4A4"/>
    <w:rsid w:val="1576D443"/>
    <w:rsid w:val="15A68573"/>
    <w:rsid w:val="15F68FB8"/>
    <w:rsid w:val="1622165B"/>
    <w:rsid w:val="167813DC"/>
    <w:rsid w:val="16DDBA11"/>
    <w:rsid w:val="16DFD431"/>
    <w:rsid w:val="1730C4A9"/>
    <w:rsid w:val="17530343"/>
    <w:rsid w:val="177F1F7F"/>
    <w:rsid w:val="17BB7C5B"/>
    <w:rsid w:val="1815195C"/>
    <w:rsid w:val="184D23F3"/>
    <w:rsid w:val="18607914"/>
    <w:rsid w:val="18B5ED7C"/>
    <w:rsid w:val="18E2B1DE"/>
    <w:rsid w:val="18F9C3B4"/>
    <w:rsid w:val="19A7C718"/>
    <w:rsid w:val="19E09B8F"/>
    <w:rsid w:val="1A19110A"/>
    <w:rsid w:val="1A1AD2AF"/>
    <w:rsid w:val="1A1F6386"/>
    <w:rsid w:val="1A21C60A"/>
    <w:rsid w:val="1A4F5218"/>
    <w:rsid w:val="1A70EA69"/>
    <w:rsid w:val="1A988DF5"/>
    <w:rsid w:val="1AAC17AF"/>
    <w:rsid w:val="1AD3BDFD"/>
    <w:rsid w:val="1ADAC6B9"/>
    <w:rsid w:val="1BA448F2"/>
    <w:rsid w:val="1C35BF67"/>
    <w:rsid w:val="1C5D261C"/>
    <w:rsid w:val="1CB4339F"/>
    <w:rsid w:val="1CB5E746"/>
    <w:rsid w:val="1CCF50D0"/>
    <w:rsid w:val="1CF1ABAA"/>
    <w:rsid w:val="1D14F3E2"/>
    <w:rsid w:val="1D5CA35B"/>
    <w:rsid w:val="1D9F3C6A"/>
    <w:rsid w:val="1DADE78B"/>
    <w:rsid w:val="1DD6E8FE"/>
    <w:rsid w:val="1DDC13FD"/>
    <w:rsid w:val="1E27AC27"/>
    <w:rsid w:val="1E7CEE66"/>
    <w:rsid w:val="1E7E8353"/>
    <w:rsid w:val="1E82528B"/>
    <w:rsid w:val="1E8325C1"/>
    <w:rsid w:val="1E857A3D"/>
    <w:rsid w:val="1ED4767D"/>
    <w:rsid w:val="1F175D95"/>
    <w:rsid w:val="1F3BD68E"/>
    <w:rsid w:val="1F47A5A9"/>
    <w:rsid w:val="2038F8D9"/>
    <w:rsid w:val="20B52677"/>
    <w:rsid w:val="21588126"/>
    <w:rsid w:val="21645D5D"/>
    <w:rsid w:val="2199C9F2"/>
    <w:rsid w:val="21C6FFA6"/>
    <w:rsid w:val="2212A961"/>
    <w:rsid w:val="22356F58"/>
    <w:rsid w:val="22411C84"/>
    <w:rsid w:val="224F95CF"/>
    <w:rsid w:val="22978BB3"/>
    <w:rsid w:val="22A369B5"/>
    <w:rsid w:val="22A69BF0"/>
    <w:rsid w:val="23116046"/>
    <w:rsid w:val="23666709"/>
    <w:rsid w:val="23CD08CA"/>
    <w:rsid w:val="23FF8B88"/>
    <w:rsid w:val="2404E3C7"/>
    <w:rsid w:val="24173537"/>
    <w:rsid w:val="241D910A"/>
    <w:rsid w:val="24E909E4"/>
    <w:rsid w:val="2518FE11"/>
    <w:rsid w:val="25615C4A"/>
    <w:rsid w:val="25B30598"/>
    <w:rsid w:val="25D5D0AD"/>
    <w:rsid w:val="25DB6B45"/>
    <w:rsid w:val="25DE3CB2"/>
    <w:rsid w:val="25E7241F"/>
    <w:rsid w:val="26635137"/>
    <w:rsid w:val="268A0D18"/>
    <w:rsid w:val="268E37A6"/>
    <w:rsid w:val="2729EAF0"/>
    <w:rsid w:val="2741AE8D"/>
    <w:rsid w:val="27A43F74"/>
    <w:rsid w:val="27F131DD"/>
    <w:rsid w:val="27FBF274"/>
    <w:rsid w:val="2800C92B"/>
    <w:rsid w:val="280FE38B"/>
    <w:rsid w:val="282A0807"/>
    <w:rsid w:val="28C75EF5"/>
    <w:rsid w:val="28D099DC"/>
    <w:rsid w:val="28D25441"/>
    <w:rsid w:val="2915DD74"/>
    <w:rsid w:val="295D5532"/>
    <w:rsid w:val="299D7FC9"/>
    <w:rsid w:val="29D30F87"/>
    <w:rsid w:val="2A08F8D4"/>
    <w:rsid w:val="2A538477"/>
    <w:rsid w:val="2A7E88C0"/>
    <w:rsid w:val="2AEE2D78"/>
    <w:rsid w:val="2B61A8C9"/>
    <w:rsid w:val="2B6C4CE1"/>
    <w:rsid w:val="2C09F503"/>
    <w:rsid w:val="2C32DEF7"/>
    <w:rsid w:val="2C3C435F"/>
    <w:rsid w:val="2CDDD06C"/>
    <w:rsid w:val="2CDF2654"/>
    <w:rsid w:val="2CE6EF38"/>
    <w:rsid w:val="2CF1C1F1"/>
    <w:rsid w:val="2D6B0CE5"/>
    <w:rsid w:val="2D725385"/>
    <w:rsid w:val="2DF13C1D"/>
    <w:rsid w:val="2E1A96DF"/>
    <w:rsid w:val="2E63F967"/>
    <w:rsid w:val="2ED3EF59"/>
    <w:rsid w:val="2ED818E7"/>
    <w:rsid w:val="2F42AC8D"/>
    <w:rsid w:val="2FCC4081"/>
    <w:rsid w:val="2FE1A351"/>
    <w:rsid w:val="3023D899"/>
    <w:rsid w:val="3039A5EB"/>
    <w:rsid w:val="306377BF"/>
    <w:rsid w:val="3077191E"/>
    <w:rsid w:val="31838607"/>
    <w:rsid w:val="31FD7AAB"/>
    <w:rsid w:val="31FDB489"/>
    <w:rsid w:val="32317C1E"/>
    <w:rsid w:val="326B881F"/>
    <w:rsid w:val="326D6B59"/>
    <w:rsid w:val="329FDB15"/>
    <w:rsid w:val="33178492"/>
    <w:rsid w:val="349BF2FE"/>
    <w:rsid w:val="349E1D4E"/>
    <w:rsid w:val="34BE64F1"/>
    <w:rsid w:val="34E5A4B2"/>
    <w:rsid w:val="35154A74"/>
    <w:rsid w:val="35192E6E"/>
    <w:rsid w:val="353EA397"/>
    <w:rsid w:val="35651554"/>
    <w:rsid w:val="35C48175"/>
    <w:rsid w:val="35D772BB"/>
    <w:rsid w:val="35E877B0"/>
    <w:rsid w:val="3607E951"/>
    <w:rsid w:val="36279D08"/>
    <w:rsid w:val="3680E8A8"/>
    <w:rsid w:val="36B4FECF"/>
    <w:rsid w:val="371A1627"/>
    <w:rsid w:val="376BA877"/>
    <w:rsid w:val="37BD5AE6"/>
    <w:rsid w:val="387D0F43"/>
    <w:rsid w:val="390FA6E9"/>
    <w:rsid w:val="391795A8"/>
    <w:rsid w:val="39260A42"/>
    <w:rsid w:val="392BC1F2"/>
    <w:rsid w:val="39380212"/>
    <w:rsid w:val="39A08533"/>
    <w:rsid w:val="39AB3090"/>
    <w:rsid w:val="39F257AE"/>
    <w:rsid w:val="3A2847BF"/>
    <w:rsid w:val="3A622B6A"/>
    <w:rsid w:val="3A7A9486"/>
    <w:rsid w:val="3ABC6A7C"/>
    <w:rsid w:val="3B0230DD"/>
    <w:rsid w:val="3B190095"/>
    <w:rsid w:val="3B336FFB"/>
    <w:rsid w:val="3B60275F"/>
    <w:rsid w:val="3C454E4F"/>
    <w:rsid w:val="3C91CDFD"/>
    <w:rsid w:val="3CE2E13C"/>
    <w:rsid w:val="3CE4D895"/>
    <w:rsid w:val="3CEA49B1"/>
    <w:rsid w:val="3D1DA5A7"/>
    <w:rsid w:val="3D23CBCA"/>
    <w:rsid w:val="3D60A77A"/>
    <w:rsid w:val="3D80AC8B"/>
    <w:rsid w:val="3DA4DF70"/>
    <w:rsid w:val="3E15A4F1"/>
    <w:rsid w:val="3EB00458"/>
    <w:rsid w:val="3F863743"/>
    <w:rsid w:val="3F966034"/>
    <w:rsid w:val="3FB40A2A"/>
    <w:rsid w:val="3FB704F8"/>
    <w:rsid w:val="4068FD2F"/>
    <w:rsid w:val="40B3F41D"/>
    <w:rsid w:val="40F15271"/>
    <w:rsid w:val="40FFFD92"/>
    <w:rsid w:val="4157946D"/>
    <w:rsid w:val="4163AFA6"/>
    <w:rsid w:val="4186EE6C"/>
    <w:rsid w:val="4192F77E"/>
    <w:rsid w:val="419D8F34"/>
    <w:rsid w:val="41A37779"/>
    <w:rsid w:val="42199B3F"/>
    <w:rsid w:val="42D2B0C0"/>
    <w:rsid w:val="43395F95"/>
    <w:rsid w:val="43D909D5"/>
    <w:rsid w:val="441713E0"/>
    <w:rsid w:val="448181DE"/>
    <w:rsid w:val="44BE867C"/>
    <w:rsid w:val="4501477C"/>
    <w:rsid w:val="45206433"/>
    <w:rsid w:val="45323D32"/>
    <w:rsid w:val="460F7167"/>
    <w:rsid w:val="468943F1"/>
    <w:rsid w:val="46929DFB"/>
    <w:rsid w:val="469D29D1"/>
    <w:rsid w:val="47111532"/>
    <w:rsid w:val="48089296"/>
    <w:rsid w:val="480DE8F7"/>
    <w:rsid w:val="4944FFF6"/>
    <w:rsid w:val="499544BA"/>
    <w:rsid w:val="49B9C11D"/>
    <w:rsid w:val="4A878463"/>
    <w:rsid w:val="4B4BB950"/>
    <w:rsid w:val="4B743088"/>
    <w:rsid w:val="4B8B5D7C"/>
    <w:rsid w:val="4B8D58E5"/>
    <w:rsid w:val="4B9189A1"/>
    <w:rsid w:val="4BA75528"/>
    <w:rsid w:val="4BAF273E"/>
    <w:rsid w:val="4CA52F40"/>
    <w:rsid w:val="4CABDEF2"/>
    <w:rsid w:val="4D4D5A39"/>
    <w:rsid w:val="4D9802BC"/>
    <w:rsid w:val="4DAC81F5"/>
    <w:rsid w:val="4DB4072A"/>
    <w:rsid w:val="4DC1F41B"/>
    <w:rsid w:val="4E47AF53"/>
    <w:rsid w:val="4EABD14A"/>
    <w:rsid w:val="4FDD327E"/>
    <w:rsid w:val="50567E7A"/>
    <w:rsid w:val="507F4216"/>
    <w:rsid w:val="50CB17D4"/>
    <w:rsid w:val="50D7D0CE"/>
    <w:rsid w:val="50EB1422"/>
    <w:rsid w:val="5129C520"/>
    <w:rsid w:val="5136E1B6"/>
    <w:rsid w:val="51850E73"/>
    <w:rsid w:val="518D67F4"/>
    <w:rsid w:val="51941DAB"/>
    <w:rsid w:val="51CD5344"/>
    <w:rsid w:val="51E3720C"/>
    <w:rsid w:val="51EDE682"/>
    <w:rsid w:val="5263B4F7"/>
    <w:rsid w:val="526DC7AF"/>
    <w:rsid w:val="5287AD04"/>
    <w:rsid w:val="52A11B8D"/>
    <w:rsid w:val="52A5CE58"/>
    <w:rsid w:val="53191586"/>
    <w:rsid w:val="5339EEF6"/>
    <w:rsid w:val="54844037"/>
    <w:rsid w:val="54B63FA1"/>
    <w:rsid w:val="5502D8FF"/>
    <w:rsid w:val="551B12CE"/>
    <w:rsid w:val="55405C98"/>
    <w:rsid w:val="5572146E"/>
    <w:rsid w:val="559DCF11"/>
    <w:rsid w:val="55BDF98A"/>
    <w:rsid w:val="563F4E75"/>
    <w:rsid w:val="564B634D"/>
    <w:rsid w:val="566F2ABD"/>
    <w:rsid w:val="56BF682D"/>
    <w:rsid w:val="56DB1422"/>
    <w:rsid w:val="57055E45"/>
    <w:rsid w:val="57A1EC89"/>
    <w:rsid w:val="57AFE978"/>
    <w:rsid w:val="57CE18B8"/>
    <w:rsid w:val="58A7B6EC"/>
    <w:rsid w:val="58E5B12C"/>
    <w:rsid w:val="59419C4E"/>
    <w:rsid w:val="5976CD8F"/>
    <w:rsid w:val="59A72ABE"/>
    <w:rsid w:val="59B00A6F"/>
    <w:rsid w:val="5A0A97B9"/>
    <w:rsid w:val="5A1621DD"/>
    <w:rsid w:val="5B020B4D"/>
    <w:rsid w:val="5B69CB3B"/>
    <w:rsid w:val="5C6D73E6"/>
    <w:rsid w:val="5C7A79A5"/>
    <w:rsid w:val="5CA838C1"/>
    <w:rsid w:val="5CEF003E"/>
    <w:rsid w:val="5D381AEC"/>
    <w:rsid w:val="5D559B20"/>
    <w:rsid w:val="5D925733"/>
    <w:rsid w:val="5D97D718"/>
    <w:rsid w:val="5DB840EA"/>
    <w:rsid w:val="5DBDB23A"/>
    <w:rsid w:val="5E2000D8"/>
    <w:rsid w:val="5E67E502"/>
    <w:rsid w:val="5E8E2859"/>
    <w:rsid w:val="5E921E38"/>
    <w:rsid w:val="5EFD073A"/>
    <w:rsid w:val="5F549B4B"/>
    <w:rsid w:val="5F5F85CC"/>
    <w:rsid w:val="60C9D591"/>
    <w:rsid w:val="60E46F8F"/>
    <w:rsid w:val="61168A96"/>
    <w:rsid w:val="611FF5A1"/>
    <w:rsid w:val="616AB0C5"/>
    <w:rsid w:val="618D699F"/>
    <w:rsid w:val="61974529"/>
    <w:rsid w:val="61ABDFCE"/>
    <w:rsid w:val="62388B1E"/>
    <w:rsid w:val="62ADF2F3"/>
    <w:rsid w:val="62FA1D71"/>
    <w:rsid w:val="6368AE85"/>
    <w:rsid w:val="64124C64"/>
    <w:rsid w:val="6423E727"/>
    <w:rsid w:val="642D102F"/>
    <w:rsid w:val="643E9C58"/>
    <w:rsid w:val="648228DC"/>
    <w:rsid w:val="6486973C"/>
    <w:rsid w:val="64A9BE3A"/>
    <w:rsid w:val="64EAF96F"/>
    <w:rsid w:val="6585D54D"/>
    <w:rsid w:val="65DAA107"/>
    <w:rsid w:val="65DFCA99"/>
    <w:rsid w:val="65E94800"/>
    <w:rsid w:val="6624946F"/>
    <w:rsid w:val="666EE833"/>
    <w:rsid w:val="671A69FE"/>
    <w:rsid w:val="67584D2E"/>
    <w:rsid w:val="67B387D7"/>
    <w:rsid w:val="67D397E5"/>
    <w:rsid w:val="67D9F249"/>
    <w:rsid w:val="687DD560"/>
    <w:rsid w:val="687EDC2D"/>
    <w:rsid w:val="68E1C011"/>
    <w:rsid w:val="68F7EFC2"/>
    <w:rsid w:val="691A3258"/>
    <w:rsid w:val="694A9DA3"/>
    <w:rsid w:val="69EBCA8B"/>
    <w:rsid w:val="6A079943"/>
    <w:rsid w:val="6A1D0655"/>
    <w:rsid w:val="6A5188F4"/>
    <w:rsid w:val="6A53D4D5"/>
    <w:rsid w:val="6A7D9072"/>
    <w:rsid w:val="6A89DB44"/>
    <w:rsid w:val="6B232349"/>
    <w:rsid w:val="6B879AEC"/>
    <w:rsid w:val="6B9CD940"/>
    <w:rsid w:val="6C283CD8"/>
    <w:rsid w:val="6C613BBA"/>
    <w:rsid w:val="6C847E14"/>
    <w:rsid w:val="6D5D3627"/>
    <w:rsid w:val="6DB303A8"/>
    <w:rsid w:val="6DF55005"/>
    <w:rsid w:val="6DF84C9B"/>
    <w:rsid w:val="6EC1BE9B"/>
    <w:rsid w:val="6F9E993E"/>
    <w:rsid w:val="70A77820"/>
    <w:rsid w:val="71106D50"/>
    <w:rsid w:val="7114D96B"/>
    <w:rsid w:val="7122E79F"/>
    <w:rsid w:val="7124D4D6"/>
    <w:rsid w:val="718995FB"/>
    <w:rsid w:val="718D2979"/>
    <w:rsid w:val="719AD0D2"/>
    <w:rsid w:val="71C1BBA3"/>
    <w:rsid w:val="7252F7E9"/>
    <w:rsid w:val="73191A06"/>
    <w:rsid w:val="735CE0A5"/>
    <w:rsid w:val="73C56C6C"/>
    <w:rsid w:val="7417BC81"/>
    <w:rsid w:val="742E12EA"/>
    <w:rsid w:val="75444FF1"/>
    <w:rsid w:val="75613CCD"/>
    <w:rsid w:val="7569D451"/>
    <w:rsid w:val="75D092FB"/>
    <w:rsid w:val="75DCFE8F"/>
    <w:rsid w:val="75E9A5DF"/>
    <w:rsid w:val="760B4374"/>
    <w:rsid w:val="76395773"/>
    <w:rsid w:val="767CD88A"/>
    <w:rsid w:val="76DE004A"/>
    <w:rsid w:val="76E56652"/>
    <w:rsid w:val="7705148C"/>
    <w:rsid w:val="7778CEF0"/>
    <w:rsid w:val="779B82B6"/>
    <w:rsid w:val="77A3150F"/>
    <w:rsid w:val="78768417"/>
    <w:rsid w:val="78A32ED1"/>
    <w:rsid w:val="795BF27F"/>
    <w:rsid w:val="79AF308E"/>
    <w:rsid w:val="79D0FD4B"/>
    <w:rsid w:val="7AB66F7C"/>
    <w:rsid w:val="7AB6E42A"/>
    <w:rsid w:val="7AF25EB7"/>
    <w:rsid w:val="7AFD53A1"/>
    <w:rsid w:val="7B24C557"/>
    <w:rsid w:val="7B3677A5"/>
    <w:rsid w:val="7B5AE16C"/>
    <w:rsid w:val="7BF9CCF3"/>
    <w:rsid w:val="7C8E2F18"/>
    <w:rsid w:val="7CC38E5D"/>
    <w:rsid w:val="7CD46ADD"/>
    <w:rsid w:val="7CE5D128"/>
    <w:rsid w:val="7D2B698E"/>
    <w:rsid w:val="7D37A2AB"/>
    <w:rsid w:val="7D4585E8"/>
    <w:rsid w:val="7D4B1734"/>
    <w:rsid w:val="7D87BB81"/>
    <w:rsid w:val="7DA22650"/>
    <w:rsid w:val="7DD6FCDB"/>
    <w:rsid w:val="7E5C6619"/>
    <w:rsid w:val="7E862D86"/>
    <w:rsid w:val="7EB72B22"/>
    <w:rsid w:val="7F38C2C8"/>
    <w:rsid w:val="7F39F22D"/>
    <w:rsid w:val="7FEAC107"/>
    <w:rsid w:val="7FF561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DB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D0F"/>
    <w:rPr>
      <w:rFonts w:ascii="Times New Roman" w:eastAsia="Times New Roman" w:hAnsi="Times New Roman"/>
      <w:sz w:val="24"/>
    </w:rPr>
  </w:style>
  <w:style w:type="paragraph" w:styleId="Heading1">
    <w:name w:val="heading 1"/>
    <w:basedOn w:val="Normal"/>
    <w:next w:val="Normal"/>
    <w:link w:val="Heading1Char"/>
    <w:qFormat/>
    <w:rsid w:val="008C7BD6"/>
    <w:pPr>
      <w:keepNext/>
      <w:numPr>
        <w:numId w:val="2"/>
      </w:numPr>
      <w:spacing w:line="480" w:lineRule="auto"/>
      <w:outlineLvl w:val="0"/>
    </w:p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rsid w:val="000B1D83"/>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03333F"/>
    <w:pPr>
      <w:spacing w:after="240"/>
      <w:jc w:val="center"/>
      <w:outlineLvl w:val="5"/>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7BD6"/>
    <w:rPr>
      <w:rFonts w:ascii="Times New Roman" w:eastAsia="Times New Roman" w:hAnsi="Times New Roman"/>
      <w:sz w:val="24"/>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03333F"/>
    <w:rPr>
      <w:rFonts w:ascii="Times New Roman" w:eastAsia="Times New Roman" w:hAnsi="Times New Roman"/>
      <w:b/>
      <w:bCs/>
      <w:sz w:val="24"/>
      <w:szCs w:val="24"/>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uiPriority w:val="39"/>
    <w:qFormat/>
    <w:rsid w:val="00BC323F"/>
    <w:pPr>
      <w:widowControl w:val="0"/>
      <w:tabs>
        <w:tab w:val="left" w:pos="720"/>
        <w:tab w:val="right" w:leader="dot" w:pos="8640"/>
      </w:tabs>
      <w:spacing w:after="120"/>
      <w:ind w:left="720" w:hanging="720"/>
    </w:pPr>
    <w:rPr>
      <w:rFonts w:eastAsiaTheme="minorEastAsia" w:cstheme="minorBidi"/>
      <w:noProof/>
      <w:szCs w:val="22"/>
    </w:rPr>
  </w:style>
  <w:style w:type="character" w:styleId="PageNumber">
    <w:name w:val="page number"/>
    <w:basedOn w:val="DefaultParagraphFont"/>
    <w:uiPriority w:val="99"/>
    <w:rsid w:val="008C7BD6"/>
  </w:style>
  <w:style w:type="paragraph" w:styleId="TOC2">
    <w:name w:val="toc 2"/>
    <w:basedOn w:val="Normal"/>
    <w:next w:val="Normal"/>
    <w:uiPriority w:val="39"/>
    <w:qFormat/>
    <w:rsid w:val="00BC323F"/>
    <w:pPr>
      <w:tabs>
        <w:tab w:val="left" w:pos="1440"/>
        <w:tab w:val="right" w:leader="dot" w:pos="8630"/>
      </w:tabs>
      <w:spacing w:after="120"/>
      <w:ind w:left="720"/>
      <w:contextualSpacing/>
    </w:pPr>
    <w:rPr>
      <w:noProof/>
      <w:szCs w:val="24"/>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basedOn w:val="DefaultParagraphFont"/>
    <w:uiPriority w:val="99"/>
    <w:semiHidden/>
    <w:unhideWhenUsed/>
    <w:rsid w:val="00902483"/>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0B1D83"/>
    <w:rPr>
      <w:rFonts w:asciiTheme="majorHAnsi" w:eastAsiaTheme="majorEastAsia" w:hAnsiTheme="majorHAnsi" w:cstheme="majorBidi"/>
      <w:color w:val="1F3763" w:themeColor="accent1" w:themeShade="7F"/>
    </w:rPr>
  </w:style>
  <w:style w:type="paragraph" w:styleId="BodyTextIndent2">
    <w:name w:val="Body Text Indent 2"/>
    <w:basedOn w:val="Normal"/>
    <w:link w:val="BodyTextIndent2Char"/>
    <w:uiPriority w:val="99"/>
    <w:semiHidden/>
    <w:unhideWhenUsed/>
    <w:rsid w:val="000B1D83"/>
    <w:pPr>
      <w:spacing w:after="120" w:line="480" w:lineRule="auto"/>
      <w:ind w:left="360"/>
    </w:pPr>
  </w:style>
  <w:style w:type="character" w:customStyle="1" w:styleId="BodyTextIndent2Char">
    <w:name w:val="Body Text Indent 2 Char"/>
    <w:basedOn w:val="DefaultParagraphFont"/>
    <w:link w:val="BodyTextIndent2"/>
    <w:uiPriority w:val="99"/>
    <w:semiHidden/>
    <w:rsid w:val="000B1D83"/>
    <w:rPr>
      <w:rFonts w:ascii="Times New Roman" w:eastAsia="Times New Roman" w:hAnsi="Times New Roman"/>
    </w:rPr>
  </w:style>
  <w:style w:type="paragraph" w:styleId="BodyTextIndent3">
    <w:name w:val="Body Text Indent 3"/>
    <w:basedOn w:val="Normal"/>
    <w:link w:val="BodyTextIndent3Char"/>
    <w:uiPriority w:val="99"/>
    <w:unhideWhenUsed/>
    <w:rsid w:val="000B1D83"/>
    <w:pPr>
      <w:spacing w:after="120"/>
      <w:ind w:left="360"/>
    </w:pPr>
    <w:rPr>
      <w:sz w:val="16"/>
      <w:szCs w:val="16"/>
    </w:rPr>
  </w:style>
  <w:style w:type="character" w:customStyle="1" w:styleId="BodyTextIndent3Char">
    <w:name w:val="Body Text Indent 3 Char"/>
    <w:basedOn w:val="DefaultParagraphFont"/>
    <w:link w:val="BodyTextIndent3"/>
    <w:uiPriority w:val="99"/>
    <w:rsid w:val="000B1D83"/>
    <w:rPr>
      <w:rFonts w:ascii="Times New Roman" w:eastAsia="Times New Roman" w:hAnsi="Times New Roman"/>
      <w:sz w:val="16"/>
      <w:szCs w:val="16"/>
    </w:rPr>
  </w:style>
  <w:style w:type="paragraph" w:styleId="ListParagraph">
    <w:name w:val="List Paragraph"/>
    <w:basedOn w:val="Normal"/>
    <w:uiPriority w:val="34"/>
    <w:qFormat/>
    <w:rsid w:val="000B1D83"/>
    <w:pPr>
      <w:ind w:left="720"/>
    </w:pPr>
    <w:rPr>
      <w:rFonts w:ascii="Calibri" w:hAnsi="Calibri"/>
      <w:sz w:val="22"/>
      <w:szCs w:val="22"/>
    </w:rPr>
  </w:style>
  <w:style w:type="paragraph" w:styleId="NormalWeb">
    <w:name w:val="Normal (Web)"/>
    <w:basedOn w:val="Normal"/>
    <w:uiPriority w:val="99"/>
    <w:semiHidden/>
    <w:unhideWhenUsed/>
    <w:rsid w:val="000B1D83"/>
    <w:pPr>
      <w:spacing w:before="100" w:beforeAutospacing="1" w:after="100" w:afterAutospacing="1"/>
    </w:pPr>
    <w:rPr>
      <w:rFonts w:eastAsiaTheme="minorEastAsia"/>
      <w:szCs w:val="24"/>
    </w:rPr>
  </w:style>
  <w:style w:type="paragraph" w:customStyle="1" w:styleId="newshead">
    <w:name w:val="news_head"/>
    <w:basedOn w:val="Normal"/>
    <w:rsid w:val="00E9218B"/>
    <w:pPr>
      <w:spacing w:before="100" w:beforeAutospacing="1" w:after="150" w:line="288" w:lineRule="atLeast"/>
    </w:pPr>
    <w:rPr>
      <w:rFonts w:ascii="UniversCondensedBold" w:hAnsi="UniversCondensedBold" w:cs="Arial"/>
      <w:color w:val="4C4C4C"/>
      <w:sz w:val="26"/>
      <w:szCs w:val="26"/>
    </w:rPr>
  </w:style>
  <w:style w:type="paragraph" w:styleId="BalloonText">
    <w:name w:val="Balloon Text"/>
    <w:basedOn w:val="Normal"/>
    <w:link w:val="BalloonTextChar"/>
    <w:uiPriority w:val="99"/>
    <w:semiHidden/>
    <w:unhideWhenUsed/>
    <w:rsid w:val="007D44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47C"/>
    <w:rPr>
      <w:rFonts w:ascii="Segoe UI" w:eastAsia="Times New Roman" w:hAnsi="Segoe UI" w:cs="Segoe UI"/>
      <w:sz w:val="18"/>
      <w:szCs w:val="18"/>
    </w:rPr>
  </w:style>
  <w:style w:type="character" w:styleId="CommentReference">
    <w:name w:val="annotation reference"/>
    <w:basedOn w:val="DefaultParagraphFont"/>
    <w:uiPriority w:val="99"/>
    <w:unhideWhenUsed/>
    <w:rsid w:val="00B5255B"/>
    <w:rPr>
      <w:sz w:val="16"/>
      <w:szCs w:val="16"/>
    </w:rPr>
  </w:style>
  <w:style w:type="paragraph" w:styleId="CommentText">
    <w:name w:val="annotation text"/>
    <w:basedOn w:val="Normal"/>
    <w:link w:val="CommentTextChar"/>
    <w:uiPriority w:val="99"/>
    <w:unhideWhenUsed/>
    <w:rsid w:val="00B5255B"/>
  </w:style>
  <w:style w:type="character" w:customStyle="1" w:styleId="CommentTextChar">
    <w:name w:val="Comment Text Char"/>
    <w:basedOn w:val="DefaultParagraphFont"/>
    <w:link w:val="CommentText"/>
    <w:uiPriority w:val="99"/>
    <w:rsid w:val="00B5255B"/>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B5255B"/>
    <w:rPr>
      <w:b/>
      <w:bCs/>
    </w:rPr>
  </w:style>
  <w:style w:type="character" w:customStyle="1" w:styleId="CommentSubjectChar">
    <w:name w:val="Comment Subject Char"/>
    <w:basedOn w:val="CommentTextChar"/>
    <w:link w:val="CommentSubject"/>
    <w:uiPriority w:val="99"/>
    <w:semiHidden/>
    <w:rsid w:val="00B5255B"/>
    <w:rPr>
      <w:rFonts w:ascii="Times New Roman" w:eastAsia="Times New Roman" w:hAnsi="Times New Roman"/>
      <w:b/>
      <w:bCs/>
    </w:rPr>
  </w:style>
  <w:style w:type="paragraph" w:styleId="FootnoteText">
    <w:name w:val="footnote text"/>
    <w:basedOn w:val="Normal"/>
    <w:link w:val="FootnoteTextChar"/>
    <w:uiPriority w:val="99"/>
    <w:semiHidden/>
    <w:rsid w:val="00B72D0F"/>
    <w:pPr>
      <w:jc w:val="both"/>
    </w:pPr>
    <w:rPr>
      <w:sz w:val="20"/>
    </w:rPr>
  </w:style>
  <w:style w:type="character" w:customStyle="1" w:styleId="FootnoteTextChar">
    <w:name w:val="Footnote Text Char"/>
    <w:basedOn w:val="DefaultParagraphFont"/>
    <w:link w:val="FootnoteText"/>
    <w:uiPriority w:val="99"/>
    <w:semiHidden/>
    <w:rsid w:val="00B72D0F"/>
    <w:rPr>
      <w:rFonts w:ascii="Times New Roman" w:eastAsia="Times New Roman" w:hAnsi="Times New Roman"/>
    </w:rPr>
  </w:style>
  <w:style w:type="character" w:styleId="FootnoteReference">
    <w:name w:val="footnote reference"/>
    <w:basedOn w:val="DefaultParagraphFont"/>
    <w:uiPriority w:val="99"/>
    <w:semiHidden/>
    <w:rsid w:val="008E4D07"/>
    <w:rPr>
      <w:rFonts w:cs="Times New Roman"/>
      <w:vertAlign w:val="superscript"/>
    </w:rPr>
  </w:style>
  <w:style w:type="paragraph" w:styleId="Revision">
    <w:name w:val="Revision"/>
    <w:hidden/>
    <w:uiPriority w:val="99"/>
    <w:semiHidden/>
    <w:rsid w:val="003C34AD"/>
    <w:rPr>
      <w:rFonts w:ascii="Times New Roman" w:eastAsia="Times New Roman" w:hAnsi="Times New Roman"/>
    </w:rPr>
  </w:style>
  <w:style w:type="paragraph" w:customStyle="1" w:styleId="CROutline1">
    <w:name w:val="CR Outline1"/>
    <w:next w:val="Normal"/>
    <w:qFormat/>
    <w:rsid w:val="00EC5C3D"/>
    <w:pPr>
      <w:tabs>
        <w:tab w:val="left" w:pos="540"/>
      </w:tabs>
      <w:spacing w:after="240"/>
      <w:ind w:left="630" w:hanging="630"/>
      <w:jc w:val="center"/>
      <w:outlineLvl w:val="0"/>
    </w:pPr>
    <w:rPr>
      <w:rFonts w:ascii="Times New Roman" w:eastAsia="Times New Roman" w:hAnsi="Times New Roman"/>
      <w:b/>
      <w:sz w:val="24"/>
      <w:szCs w:val="24"/>
      <w:u w:val="single"/>
    </w:rPr>
  </w:style>
  <w:style w:type="paragraph" w:customStyle="1" w:styleId="CROutline2">
    <w:name w:val="CR Outline2"/>
    <w:basedOn w:val="Normal"/>
    <w:rsid w:val="00C33B20"/>
    <w:pPr>
      <w:numPr>
        <w:ilvl w:val="1"/>
        <w:numId w:val="4"/>
      </w:numPr>
      <w:tabs>
        <w:tab w:val="clear" w:pos="5940"/>
        <w:tab w:val="num" w:pos="1440"/>
      </w:tabs>
      <w:spacing w:after="240"/>
      <w:ind w:left="1440"/>
    </w:pPr>
    <w:rPr>
      <w:b/>
      <w:szCs w:val="24"/>
    </w:rPr>
  </w:style>
  <w:style w:type="paragraph" w:customStyle="1" w:styleId="CROutline3">
    <w:name w:val="CR Outline3"/>
    <w:basedOn w:val="Normal"/>
    <w:rsid w:val="00902483"/>
    <w:pPr>
      <w:numPr>
        <w:ilvl w:val="2"/>
        <w:numId w:val="4"/>
      </w:numPr>
    </w:pPr>
  </w:style>
  <w:style w:type="paragraph" w:customStyle="1" w:styleId="CROutline4">
    <w:name w:val="CR Outline4"/>
    <w:basedOn w:val="Normal"/>
    <w:rsid w:val="00902483"/>
    <w:pPr>
      <w:numPr>
        <w:ilvl w:val="3"/>
        <w:numId w:val="4"/>
      </w:numPr>
    </w:pPr>
  </w:style>
  <w:style w:type="paragraph" w:customStyle="1" w:styleId="CROutline5">
    <w:name w:val="CR Outline5"/>
    <w:basedOn w:val="Normal"/>
    <w:rsid w:val="00902483"/>
    <w:pPr>
      <w:numPr>
        <w:ilvl w:val="4"/>
        <w:numId w:val="4"/>
      </w:numPr>
    </w:pPr>
  </w:style>
  <w:style w:type="paragraph" w:customStyle="1" w:styleId="CROutline6">
    <w:name w:val="CR Outline6"/>
    <w:basedOn w:val="Normal"/>
    <w:rsid w:val="00902483"/>
    <w:pPr>
      <w:numPr>
        <w:ilvl w:val="5"/>
        <w:numId w:val="4"/>
      </w:numPr>
    </w:pPr>
  </w:style>
  <w:style w:type="paragraph" w:customStyle="1" w:styleId="CROutline7">
    <w:name w:val="CR Outline7"/>
    <w:basedOn w:val="Normal"/>
    <w:rsid w:val="00902483"/>
    <w:pPr>
      <w:numPr>
        <w:ilvl w:val="6"/>
        <w:numId w:val="4"/>
      </w:numPr>
    </w:pPr>
  </w:style>
  <w:style w:type="paragraph" w:customStyle="1" w:styleId="CROutline8">
    <w:name w:val="CR Outline8"/>
    <w:basedOn w:val="Normal"/>
    <w:rsid w:val="00902483"/>
    <w:pPr>
      <w:numPr>
        <w:ilvl w:val="7"/>
        <w:numId w:val="4"/>
      </w:numPr>
    </w:pPr>
  </w:style>
  <w:style w:type="paragraph" w:customStyle="1" w:styleId="CROutline9">
    <w:name w:val="CR Outline9"/>
    <w:basedOn w:val="Normal"/>
    <w:rsid w:val="00902483"/>
    <w:pPr>
      <w:numPr>
        <w:ilvl w:val="8"/>
        <w:numId w:val="4"/>
      </w:numPr>
    </w:pPr>
  </w:style>
  <w:style w:type="table" w:styleId="TableGrid">
    <w:name w:val="Table Grid"/>
    <w:basedOn w:val="TableNormal"/>
    <w:uiPriority w:val="59"/>
    <w:rsid w:val="00BA04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Answer">
    <w:name w:val="CR Answer"/>
    <w:basedOn w:val="Normal"/>
    <w:next w:val="Normal"/>
    <w:qFormat/>
    <w:rsid w:val="00EC5C3D"/>
    <w:pPr>
      <w:tabs>
        <w:tab w:val="left" w:pos="720"/>
      </w:tabs>
      <w:spacing w:line="480" w:lineRule="auto"/>
      <w:ind w:left="720" w:hanging="720"/>
      <w:jc w:val="both"/>
    </w:pPr>
    <w:rPr>
      <w:rFonts w:eastAsiaTheme="minorHAnsi"/>
      <w:szCs w:val="24"/>
    </w:rPr>
  </w:style>
  <w:style w:type="paragraph" w:customStyle="1" w:styleId="CRQuestion">
    <w:name w:val="CR Question"/>
    <w:basedOn w:val="Normal"/>
    <w:next w:val="CRAnswer"/>
    <w:qFormat/>
    <w:rsid w:val="00B8576F"/>
    <w:pPr>
      <w:tabs>
        <w:tab w:val="left" w:pos="720"/>
      </w:tabs>
      <w:spacing w:line="480" w:lineRule="auto"/>
      <w:ind w:left="720" w:hanging="720"/>
      <w:jc w:val="both"/>
    </w:pPr>
    <w:rPr>
      <w:rFonts w:ascii="Times New Roman Bold" w:eastAsiaTheme="minorHAnsi" w:hAnsi="Times New Roman Bold"/>
      <w:b/>
      <w:caps/>
      <w:szCs w:val="24"/>
    </w:rPr>
  </w:style>
  <w:style w:type="character" w:styleId="Mention">
    <w:name w:val="Mention"/>
    <w:basedOn w:val="DefaultParagraphFont"/>
    <w:uiPriority w:val="99"/>
    <w:unhideWhenUsed/>
    <w:rsid w:val="00275C39"/>
    <w:rPr>
      <w:color w:val="2B579A"/>
      <w:shd w:val="clear" w:color="auto" w:fill="E1DFDD"/>
    </w:rPr>
  </w:style>
  <w:style w:type="paragraph" w:styleId="TOCHeading">
    <w:name w:val="TOC Heading"/>
    <w:basedOn w:val="Heading1"/>
    <w:next w:val="Normal"/>
    <w:uiPriority w:val="39"/>
    <w:unhideWhenUsed/>
    <w:qFormat/>
    <w:rsid w:val="00962C77"/>
    <w:pPr>
      <w:keepLines/>
      <w:numPr>
        <w:numId w:val="0"/>
      </w:numPr>
      <w:spacing w:before="240" w:line="259" w:lineRule="auto"/>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4144">
      <w:bodyDiv w:val="1"/>
      <w:marLeft w:val="0"/>
      <w:marRight w:val="0"/>
      <w:marTop w:val="0"/>
      <w:marBottom w:val="0"/>
      <w:divBdr>
        <w:top w:val="none" w:sz="0" w:space="0" w:color="auto"/>
        <w:left w:val="none" w:sz="0" w:space="0" w:color="auto"/>
        <w:bottom w:val="none" w:sz="0" w:space="0" w:color="auto"/>
        <w:right w:val="none" w:sz="0" w:space="0" w:color="auto"/>
      </w:divBdr>
    </w:div>
    <w:div w:id="398283424">
      <w:bodyDiv w:val="1"/>
      <w:marLeft w:val="0"/>
      <w:marRight w:val="0"/>
      <w:marTop w:val="0"/>
      <w:marBottom w:val="0"/>
      <w:divBdr>
        <w:top w:val="none" w:sz="0" w:space="0" w:color="auto"/>
        <w:left w:val="none" w:sz="0" w:space="0" w:color="auto"/>
        <w:bottom w:val="none" w:sz="0" w:space="0" w:color="auto"/>
        <w:right w:val="none" w:sz="0" w:space="0" w:color="auto"/>
      </w:divBdr>
      <w:divsChild>
        <w:div w:id="1500190011">
          <w:marLeft w:val="0"/>
          <w:marRight w:val="0"/>
          <w:marTop w:val="0"/>
          <w:marBottom w:val="0"/>
          <w:divBdr>
            <w:top w:val="none" w:sz="0" w:space="0" w:color="auto"/>
            <w:left w:val="none" w:sz="0" w:space="0" w:color="auto"/>
            <w:bottom w:val="none" w:sz="0" w:space="0" w:color="auto"/>
            <w:right w:val="none" w:sz="0" w:space="0" w:color="auto"/>
          </w:divBdr>
          <w:divsChild>
            <w:div w:id="1556239248">
              <w:marLeft w:val="0"/>
              <w:marRight w:val="0"/>
              <w:marTop w:val="0"/>
              <w:marBottom w:val="0"/>
              <w:divBdr>
                <w:top w:val="none" w:sz="0" w:space="0" w:color="auto"/>
                <w:left w:val="none" w:sz="0" w:space="0" w:color="auto"/>
                <w:bottom w:val="none" w:sz="0" w:space="0" w:color="auto"/>
                <w:right w:val="none" w:sz="0" w:space="0" w:color="auto"/>
              </w:divBdr>
              <w:divsChild>
                <w:div w:id="615210723">
                  <w:marLeft w:val="0"/>
                  <w:marRight w:val="0"/>
                  <w:marTop w:val="0"/>
                  <w:marBottom w:val="0"/>
                  <w:divBdr>
                    <w:top w:val="none" w:sz="0" w:space="0" w:color="auto"/>
                    <w:left w:val="none" w:sz="0" w:space="0" w:color="auto"/>
                    <w:bottom w:val="none" w:sz="0" w:space="0" w:color="auto"/>
                    <w:right w:val="none" w:sz="0" w:space="0" w:color="auto"/>
                  </w:divBdr>
                  <w:divsChild>
                    <w:div w:id="1926837563">
                      <w:marLeft w:val="0"/>
                      <w:marRight w:val="0"/>
                      <w:marTop w:val="0"/>
                      <w:marBottom w:val="0"/>
                      <w:divBdr>
                        <w:top w:val="none" w:sz="0" w:space="0" w:color="auto"/>
                        <w:left w:val="none" w:sz="0" w:space="0" w:color="auto"/>
                        <w:bottom w:val="none" w:sz="0" w:space="0" w:color="auto"/>
                        <w:right w:val="none" w:sz="0" w:space="0" w:color="auto"/>
                      </w:divBdr>
                      <w:divsChild>
                        <w:div w:id="648628259">
                          <w:marLeft w:val="0"/>
                          <w:marRight w:val="0"/>
                          <w:marTop w:val="0"/>
                          <w:marBottom w:val="0"/>
                          <w:divBdr>
                            <w:top w:val="none" w:sz="0" w:space="0" w:color="auto"/>
                            <w:left w:val="none" w:sz="0" w:space="0" w:color="auto"/>
                            <w:bottom w:val="none" w:sz="0" w:space="0" w:color="auto"/>
                            <w:right w:val="none" w:sz="0" w:space="0" w:color="auto"/>
                          </w:divBdr>
                          <w:divsChild>
                            <w:div w:id="1006515318">
                              <w:marLeft w:val="0"/>
                              <w:marRight w:val="0"/>
                              <w:marTop w:val="0"/>
                              <w:marBottom w:val="300"/>
                              <w:divBdr>
                                <w:top w:val="none" w:sz="0" w:space="0" w:color="auto"/>
                                <w:left w:val="none" w:sz="0" w:space="0" w:color="auto"/>
                                <w:bottom w:val="none" w:sz="0" w:space="0" w:color="auto"/>
                                <w:right w:val="none" w:sz="0" w:space="0" w:color="auto"/>
                              </w:divBdr>
                              <w:divsChild>
                                <w:div w:id="1588463358">
                                  <w:marLeft w:val="0"/>
                                  <w:marRight w:val="0"/>
                                  <w:marTop w:val="0"/>
                                  <w:marBottom w:val="0"/>
                                  <w:divBdr>
                                    <w:top w:val="none" w:sz="0" w:space="0" w:color="auto"/>
                                    <w:left w:val="none" w:sz="0" w:space="0" w:color="auto"/>
                                    <w:bottom w:val="none" w:sz="0" w:space="0" w:color="auto"/>
                                    <w:right w:val="none" w:sz="0" w:space="0" w:color="auto"/>
                                  </w:divBdr>
                                  <w:divsChild>
                                    <w:div w:id="1241253557">
                                      <w:marLeft w:val="150"/>
                                      <w:marRight w:val="150"/>
                                      <w:marTop w:val="0"/>
                                      <w:marBottom w:val="0"/>
                                      <w:divBdr>
                                        <w:top w:val="none" w:sz="0" w:space="0" w:color="auto"/>
                                        <w:left w:val="none" w:sz="0" w:space="0" w:color="auto"/>
                                        <w:bottom w:val="none" w:sz="0" w:space="0" w:color="auto"/>
                                        <w:right w:val="none" w:sz="0" w:space="0" w:color="auto"/>
                                      </w:divBdr>
                                      <w:divsChild>
                                        <w:div w:id="1253011012">
                                          <w:marLeft w:val="0"/>
                                          <w:marRight w:val="0"/>
                                          <w:marTop w:val="0"/>
                                          <w:marBottom w:val="540"/>
                                          <w:divBdr>
                                            <w:top w:val="none" w:sz="0" w:space="0" w:color="auto"/>
                                            <w:left w:val="none" w:sz="0" w:space="0" w:color="auto"/>
                                            <w:bottom w:val="none" w:sz="0" w:space="0" w:color="auto"/>
                                            <w:right w:val="none" w:sz="0" w:space="0" w:color="auto"/>
                                          </w:divBdr>
                                          <w:divsChild>
                                            <w:div w:id="1236479785">
                                              <w:marLeft w:val="0"/>
                                              <w:marRight w:val="0"/>
                                              <w:marTop w:val="0"/>
                                              <w:marBottom w:val="0"/>
                                              <w:divBdr>
                                                <w:top w:val="none" w:sz="0" w:space="0" w:color="auto"/>
                                                <w:left w:val="none" w:sz="0" w:space="0" w:color="auto"/>
                                                <w:bottom w:val="none" w:sz="0" w:space="0" w:color="auto"/>
                                                <w:right w:val="none" w:sz="0" w:space="0" w:color="auto"/>
                                              </w:divBdr>
                                              <w:divsChild>
                                                <w:div w:id="1563715516">
                                                  <w:marLeft w:val="0"/>
                                                  <w:marRight w:val="0"/>
                                                  <w:marTop w:val="0"/>
                                                  <w:marBottom w:val="0"/>
                                                  <w:divBdr>
                                                    <w:top w:val="none" w:sz="0" w:space="0" w:color="auto"/>
                                                    <w:left w:val="none" w:sz="0" w:space="0" w:color="auto"/>
                                                    <w:bottom w:val="none" w:sz="0" w:space="0" w:color="auto"/>
                                                    <w:right w:val="none" w:sz="0" w:space="0" w:color="auto"/>
                                                  </w:divBdr>
                                                  <w:divsChild>
                                                    <w:div w:id="1587687556">
                                                      <w:marLeft w:val="0"/>
                                                      <w:marRight w:val="0"/>
                                                      <w:marTop w:val="0"/>
                                                      <w:marBottom w:val="0"/>
                                                      <w:divBdr>
                                                        <w:top w:val="none" w:sz="0" w:space="0" w:color="auto"/>
                                                        <w:left w:val="none" w:sz="0" w:space="0" w:color="auto"/>
                                                        <w:bottom w:val="none" w:sz="0" w:space="0" w:color="auto"/>
                                                        <w:right w:val="none" w:sz="0" w:space="0" w:color="auto"/>
                                                      </w:divBdr>
                                                      <w:divsChild>
                                                        <w:div w:id="1214390320">
                                                          <w:marLeft w:val="0"/>
                                                          <w:marRight w:val="0"/>
                                                          <w:marTop w:val="0"/>
                                                          <w:marBottom w:val="0"/>
                                                          <w:divBdr>
                                                            <w:top w:val="none" w:sz="0" w:space="0" w:color="auto"/>
                                                            <w:left w:val="none" w:sz="0" w:space="0" w:color="auto"/>
                                                            <w:bottom w:val="none" w:sz="0" w:space="0" w:color="auto"/>
                                                            <w:right w:val="none" w:sz="0" w:space="0" w:color="auto"/>
                                                          </w:divBdr>
                                                          <w:divsChild>
                                                            <w:div w:id="159085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670792214">
      <w:bodyDiv w:val="1"/>
      <w:marLeft w:val="0"/>
      <w:marRight w:val="0"/>
      <w:marTop w:val="0"/>
      <w:marBottom w:val="0"/>
      <w:divBdr>
        <w:top w:val="none" w:sz="0" w:space="0" w:color="auto"/>
        <w:left w:val="none" w:sz="0" w:space="0" w:color="auto"/>
        <w:bottom w:val="none" w:sz="0" w:space="0" w:color="auto"/>
        <w:right w:val="none" w:sz="0" w:space="0" w:color="auto"/>
      </w:divBdr>
      <w:divsChild>
        <w:div w:id="285744211">
          <w:marLeft w:val="0"/>
          <w:marRight w:val="0"/>
          <w:marTop w:val="0"/>
          <w:marBottom w:val="0"/>
          <w:divBdr>
            <w:top w:val="none" w:sz="0" w:space="0" w:color="auto"/>
            <w:left w:val="none" w:sz="0" w:space="0" w:color="auto"/>
            <w:bottom w:val="none" w:sz="0" w:space="0" w:color="auto"/>
            <w:right w:val="none" w:sz="0" w:space="0" w:color="auto"/>
          </w:divBdr>
          <w:divsChild>
            <w:div w:id="1376462744">
              <w:marLeft w:val="0"/>
              <w:marRight w:val="0"/>
              <w:marTop w:val="0"/>
              <w:marBottom w:val="0"/>
              <w:divBdr>
                <w:top w:val="none" w:sz="0" w:space="0" w:color="auto"/>
                <w:left w:val="none" w:sz="0" w:space="0" w:color="auto"/>
                <w:bottom w:val="none" w:sz="0" w:space="0" w:color="auto"/>
                <w:right w:val="none" w:sz="0" w:space="0" w:color="auto"/>
              </w:divBdr>
              <w:divsChild>
                <w:div w:id="1393504595">
                  <w:marLeft w:val="0"/>
                  <w:marRight w:val="0"/>
                  <w:marTop w:val="0"/>
                  <w:marBottom w:val="0"/>
                  <w:divBdr>
                    <w:top w:val="none" w:sz="0" w:space="0" w:color="auto"/>
                    <w:left w:val="none" w:sz="0" w:space="0" w:color="auto"/>
                    <w:bottom w:val="none" w:sz="0" w:space="0" w:color="auto"/>
                    <w:right w:val="none" w:sz="0" w:space="0" w:color="auto"/>
                  </w:divBdr>
                  <w:divsChild>
                    <w:div w:id="393741117">
                      <w:marLeft w:val="0"/>
                      <w:marRight w:val="0"/>
                      <w:marTop w:val="0"/>
                      <w:marBottom w:val="0"/>
                      <w:divBdr>
                        <w:top w:val="none" w:sz="0" w:space="0" w:color="auto"/>
                        <w:left w:val="none" w:sz="0" w:space="0" w:color="auto"/>
                        <w:bottom w:val="none" w:sz="0" w:space="0" w:color="auto"/>
                        <w:right w:val="none" w:sz="0" w:space="0" w:color="auto"/>
                      </w:divBdr>
                      <w:divsChild>
                        <w:div w:id="1922523467">
                          <w:marLeft w:val="0"/>
                          <w:marRight w:val="0"/>
                          <w:marTop w:val="0"/>
                          <w:marBottom w:val="0"/>
                          <w:divBdr>
                            <w:top w:val="none" w:sz="0" w:space="0" w:color="auto"/>
                            <w:left w:val="none" w:sz="0" w:space="0" w:color="auto"/>
                            <w:bottom w:val="none" w:sz="0" w:space="0" w:color="auto"/>
                            <w:right w:val="none" w:sz="0" w:space="0" w:color="auto"/>
                          </w:divBdr>
                          <w:divsChild>
                            <w:div w:id="143856774">
                              <w:marLeft w:val="0"/>
                              <w:marRight w:val="0"/>
                              <w:marTop w:val="0"/>
                              <w:marBottom w:val="300"/>
                              <w:divBdr>
                                <w:top w:val="none" w:sz="0" w:space="0" w:color="auto"/>
                                <w:left w:val="none" w:sz="0" w:space="0" w:color="auto"/>
                                <w:bottom w:val="none" w:sz="0" w:space="0" w:color="auto"/>
                                <w:right w:val="none" w:sz="0" w:space="0" w:color="auto"/>
                              </w:divBdr>
                              <w:divsChild>
                                <w:div w:id="803932668">
                                  <w:marLeft w:val="0"/>
                                  <w:marRight w:val="0"/>
                                  <w:marTop w:val="0"/>
                                  <w:marBottom w:val="0"/>
                                  <w:divBdr>
                                    <w:top w:val="none" w:sz="0" w:space="0" w:color="auto"/>
                                    <w:left w:val="none" w:sz="0" w:space="0" w:color="auto"/>
                                    <w:bottom w:val="none" w:sz="0" w:space="0" w:color="auto"/>
                                    <w:right w:val="none" w:sz="0" w:space="0" w:color="auto"/>
                                  </w:divBdr>
                                  <w:divsChild>
                                    <w:div w:id="1750037096">
                                      <w:marLeft w:val="150"/>
                                      <w:marRight w:val="150"/>
                                      <w:marTop w:val="0"/>
                                      <w:marBottom w:val="0"/>
                                      <w:divBdr>
                                        <w:top w:val="none" w:sz="0" w:space="0" w:color="auto"/>
                                        <w:left w:val="none" w:sz="0" w:space="0" w:color="auto"/>
                                        <w:bottom w:val="none" w:sz="0" w:space="0" w:color="auto"/>
                                        <w:right w:val="none" w:sz="0" w:space="0" w:color="auto"/>
                                      </w:divBdr>
                                      <w:divsChild>
                                        <w:div w:id="1702978303">
                                          <w:marLeft w:val="0"/>
                                          <w:marRight w:val="0"/>
                                          <w:marTop w:val="0"/>
                                          <w:marBottom w:val="540"/>
                                          <w:divBdr>
                                            <w:top w:val="none" w:sz="0" w:space="0" w:color="auto"/>
                                            <w:left w:val="none" w:sz="0" w:space="0" w:color="auto"/>
                                            <w:bottom w:val="none" w:sz="0" w:space="0" w:color="auto"/>
                                            <w:right w:val="none" w:sz="0" w:space="0" w:color="auto"/>
                                          </w:divBdr>
                                          <w:divsChild>
                                            <w:div w:id="2078746866">
                                              <w:marLeft w:val="0"/>
                                              <w:marRight w:val="0"/>
                                              <w:marTop w:val="0"/>
                                              <w:marBottom w:val="0"/>
                                              <w:divBdr>
                                                <w:top w:val="none" w:sz="0" w:space="0" w:color="auto"/>
                                                <w:left w:val="none" w:sz="0" w:space="0" w:color="auto"/>
                                                <w:bottom w:val="none" w:sz="0" w:space="0" w:color="auto"/>
                                                <w:right w:val="none" w:sz="0" w:space="0" w:color="auto"/>
                                              </w:divBdr>
                                              <w:divsChild>
                                                <w:div w:id="320619561">
                                                  <w:marLeft w:val="0"/>
                                                  <w:marRight w:val="0"/>
                                                  <w:marTop w:val="0"/>
                                                  <w:marBottom w:val="0"/>
                                                  <w:divBdr>
                                                    <w:top w:val="none" w:sz="0" w:space="0" w:color="auto"/>
                                                    <w:left w:val="none" w:sz="0" w:space="0" w:color="auto"/>
                                                    <w:bottom w:val="none" w:sz="0" w:space="0" w:color="auto"/>
                                                    <w:right w:val="none" w:sz="0" w:space="0" w:color="auto"/>
                                                  </w:divBdr>
                                                  <w:divsChild>
                                                    <w:div w:id="2014408442">
                                                      <w:marLeft w:val="0"/>
                                                      <w:marRight w:val="0"/>
                                                      <w:marTop w:val="0"/>
                                                      <w:marBottom w:val="0"/>
                                                      <w:divBdr>
                                                        <w:top w:val="none" w:sz="0" w:space="0" w:color="auto"/>
                                                        <w:left w:val="none" w:sz="0" w:space="0" w:color="auto"/>
                                                        <w:bottom w:val="none" w:sz="0" w:space="0" w:color="auto"/>
                                                        <w:right w:val="none" w:sz="0" w:space="0" w:color="auto"/>
                                                      </w:divBdr>
                                                      <w:divsChild>
                                                        <w:div w:id="2024163516">
                                                          <w:marLeft w:val="0"/>
                                                          <w:marRight w:val="0"/>
                                                          <w:marTop w:val="0"/>
                                                          <w:marBottom w:val="0"/>
                                                          <w:divBdr>
                                                            <w:top w:val="none" w:sz="0" w:space="0" w:color="auto"/>
                                                            <w:left w:val="none" w:sz="0" w:space="0" w:color="auto"/>
                                                            <w:bottom w:val="none" w:sz="0" w:space="0" w:color="auto"/>
                                                            <w:right w:val="none" w:sz="0" w:space="0" w:color="auto"/>
                                                          </w:divBdr>
                                                          <w:divsChild>
                                                            <w:div w:id="114837282">
                                                              <w:marLeft w:val="0"/>
                                                              <w:marRight w:val="0"/>
                                                              <w:marTop w:val="0"/>
                                                              <w:marBottom w:val="0"/>
                                                              <w:divBdr>
                                                                <w:top w:val="none" w:sz="0" w:space="0" w:color="auto"/>
                                                                <w:left w:val="none" w:sz="0" w:space="0" w:color="auto"/>
                                                                <w:bottom w:val="none" w:sz="0" w:space="0" w:color="auto"/>
                                                                <w:right w:val="none" w:sz="0" w:space="0" w:color="auto"/>
                                                              </w:divBdr>
                                                              <w:divsChild>
                                                                <w:div w:id="423188225">
                                                                  <w:marLeft w:val="720"/>
                                                                  <w:marRight w:val="0"/>
                                                                  <w:marTop w:val="0"/>
                                                                  <w:marBottom w:val="0"/>
                                                                  <w:divBdr>
                                                                    <w:top w:val="none" w:sz="0" w:space="0" w:color="auto"/>
                                                                    <w:left w:val="none" w:sz="0" w:space="0" w:color="auto"/>
                                                                    <w:bottom w:val="none" w:sz="0" w:space="0" w:color="auto"/>
                                                                    <w:right w:val="none" w:sz="0" w:space="0" w:color="auto"/>
                                                                  </w:divBdr>
                                                                </w:div>
                                                                <w:div w:id="436759947">
                                                                  <w:marLeft w:val="720"/>
                                                                  <w:marRight w:val="0"/>
                                                                  <w:marTop w:val="0"/>
                                                                  <w:marBottom w:val="0"/>
                                                                  <w:divBdr>
                                                                    <w:top w:val="none" w:sz="0" w:space="0" w:color="auto"/>
                                                                    <w:left w:val="none" w:sz="0" w:space="0" w:color="auto"/>
                                                                    <w:bottom w:val="none" w:sz="0" w:space="0" w:color="auto"/>
                                                                    <w:right w:val="none" w:sz="0" w:space="0" w:color="auto"/>
                                                                  </w:divBdr>
                                                                </w:div>
                                                                <w:div w:id="600841095">
                                                                  <w:marLeft w:val="720"/>
                                                                  <w:marRight w:val="0"/>
                                                                  <w:marTop w:val="0"/>
                                                                  <w:marBottom w:val="0"/>
                                                                  <w:divBdr>
                                                                    <w:top w:val="none" w:sz="0" w:space="0" w:color="auto"/>
                                                                    <w:left w:val="none" w:sz="0" w:space="0" w:color="auto"/>
                                                                    <w:bottom w:val="none" w:sz="0" w:space="0" w:color="auto"/>
                                                                    <w:right w:val="none" w:sz="0" w:space="0" w:color="auto"/>
                                                                  </w:divBdr>
                                                                </w:div>
                                                                <w:div w:id="1286540526">
                                                                  <w:marLeft w:val="720"/>
                                                                  <w:marRight w:val="0"/>
                                                                  <w:marTop w:val="0"/>
                                                                  <w:marBottom w:val="0"/>
                                                                  <w:divBdr>
                                                                    <w:top w:val="none" w:sz="0" w:space="0" w:color="auto"/>
                                                                    <w:left w:val="none" w:sz="0" w:space="0" w:color="auto"/>
                                                                    <w:bottom w:val="none" w:sz="0" w:space="0" w:color="auto"/>
                                                                    <w:right w:val="none" w:sz="0" w:space="0" w:color="auto"/>
                                                                  </w:divBdr>
                                                                </w:div>
                                                                <w:div w:id="1569147609">
                                                                  <w:marLeft w:val="720"/>
                                                                  <w:marRight w:val="0"/>
                                                                  <w:marTop w:val="0"/>
                                                                  <w:marBottom w:val="0"/>
                                                                  <w:divBdr>
                                                                    <w:top w:val="none" w:sz="0" w:space="0" w:color="auto"/>
                                                                    <w:left w:val="none" w:sz="0" w:space="0" w:color="auto"/>
                                                                    <w:bottom w:val="none" w:sz="0" w:space="0" w:color="auto"/>
                                                                    <w:right w:val="none" w:sz="0" w:space="0" w:color="auto"/>
                                                                  </w:divBdr>
                                                                </w:div>
                                                                <w:div w:id="192849487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47134499">
      <w:bodyDiv w:val="1"/>
      <w:marLeft w:val="0"/>
      <w:marRight w:val="0"/>
      <w:marTop w:val="0"/>
      <w:marBottom w:val="0"/>
      <w:divBdr>
        <w:top w:val="none" w:sz="0" w:space="0" w:color="auto"/>
        <w:left w:val="none" w:sz="0" w:space="0" w:color="auto"/>
        <w:bottom w:val="none" w:sz="0" w:space="0" w:color="auto"/>
        <w:right w:val="none" w:sz="0" w:space="0" w:color="auto"/>
      </w:divBdr>
    </w:div>
    <w:div w:id="1215577633">
      <w:bodyDiv w:val="1"/>
      <w:marLeft w:val="0"/>
      <w:marRight w:val="0"/>
      <w:marTop w:val="0"/>
      <w:marBottom w:val="0"/>
      <w:divBdr>
        <w:top w:val="none" w:sz="0" w:space="0" w:color="auto"/>
        <w:left w:val="none" w:sz="0" w:space="0" w:color="auto"/>
        <w:bottom w:val="none" w:sz="0" w:space="0" w:color="auto"/>
        <w:right w:val="none" w:sz="0" w:space="0" w:color="auto"/>
      </w:divBdr>
    </w:div>
    <w:div w:id="1341738121">
      <w:bodyDiv w:val="1"/>
      <w:marLeft w:val="0"/>
      <w:marRight w:val="0"/>
      <w:marTop w:val="0"/>
      <w:marBottom w:val="0"/>
      <w:divBdr>
        <w:top w:val="none" w:sz="0" w:space="0" w:color="auto"/>
        <w:left w:val="none" w:sz="0" w:space="0" w:color="auto"/>
        <w:bottom w:val="none" w:sz="0" w:space="0" w:color="auto"/>
        <w:right w:val="none" w:sz="0" w:space="0" w:color="auto"/>
      </w:divBdr>
      <w:divsChild>
        <w:div w:id="1998990231">
          <w:marLeft w:val="0"/>
          <w:marRight w:val="0"/>
          <w:marTop w:val="0"/>
          <w:marBottom w:val="0"/>
          <w:divBdr>
            <w:top w:val="none" w:sz="0" w:space="0" w:color="auto"/>
            <w:left w:val="none" w:sz="0" w:space="0" w:color="auto"/>
            <w:bottom w:val="none" w:sz="0" w:space="0" w:color="auto"/>
            <w:right w:val="none" w:sz="0" w:space="0" w:color="auto"/>
          </w:divBdr>
          <w:divsChild>
            <w:div w:id="1705213373">
              <w:marLeft w:val="0"/>
              <w:marRight w:val="0"/>
              <w:marTop w:val="0"/>
              <w:marBottom w:val="0"/>
              <w:divBdr>
                <w:top w:val="none" w:sz="0" w:space="0" w:color="auto"/>
                <w:left w:val="none" w:sz="0" w:space="0" w:color="auto"/>
                <w:bottom w:val="none" w:sz="0" w:space="0" w:color="auto"/>
                <w:right w:val="none" w:sz="0" w:space="0" w:color="auto"/>
              </w:divBdr>
              <w:divsChild>
                <w:div w:id="505365598">
                  <w:marLeft w:val="0"/>
                  <w:marRight w:val="0"/>
                  <w:marTop w:val="0"/>
                  <w:marBottom w:val="0"/>
                  <w:divBdr>
                    <w:top w:val="none" w:sz="0" w:space="0" w:color="auto"/>
                    <w:left w:val="none" w:sz="0" w:space="0" w:color="auto"/>
                    <w:bottom w:val="none" w:sz="0" w:space="0" w:color="auto"/>
                    <w:right w:val="none" w:sz="0" w:space="0" w:color="auto"/>
                  </w:divBdr>
                  <w:divsChild>
                    <w:div w:id="1194222520">
                      <w:marLeft w:val="0"/>
                      <w:marRight w:val="0"/>
                      <w:marTop w:val="0"/>
                      <w:marBottom w:val="0"/>
                      <w:divBdr>
                        <w:top w:val="none" w:sz="0" w:space="0" w:color="auto"/>
                        <w:left w:val="none" w:sz="0" w:space="0" w:color="auto"/>
                        <w:bottom w:val="none" w:sz="0" w:space="0" w:color="auto"/>
                        <w:right w:val="none" w:sz="0" w:space="0" w:color="auto"/>
                      </w:divBdr>
                      <w:divsChild>
                        <w:div w:id="269511986">
                          <w:marLeft w:val="0"/>
                          <w:marRight w:val="0"/>
                          <w:marTop w:val="0"/>
                          <w:marBottom w:val="0"/>
                          <w:divBdr>
                            <w:top w:val="none" w:sz="0" w:space="0" w:color="auto"/>
                            <w:left w:val="none" w:sz="0" w:space="0" w:color="auto"/>
                            <w:bottom w:val="none" w:sz="0" w:space="0" w:color="auto"/>
                            <w:right w:val="none" w:sz="0" w:space="0" w:color="auto"/>
                          </w:divBdr>
                          <w:divsChild>
                            <w:div w:id="325209811">
                              <w:marLeft w:val="0"/>
                              <w:marRight w:val="0"/>
                              <w:marTop w:val="0"/>
                              <w:marBottom w:val="300"/>
                              <w:divBdr>
                                <w:top w:val="none" w:sz="0" w:space="0" w:color="auto"/>
                                <w:left w:val="none" w:sz="0" w:space="0" w:color="auto"/>
                                <w:bottom w:val="none" w:sz="0" w:space="0" w:color="auto"/>
                                <w:right w:val="none" w:sz="0" w:space="0" w:color="auto"/>
                              </w:divBdr>
                              <w:divsChild>
                                <w:div w:id="2039819781">
                                  <w:marLeft w:val="0"/>
                                  <w:marRight w:val="0"/>
                                  <w:marTop w:val="0"/>
                                  <w:marBottom w:val="0"/>
                                  <w:divBdr>
                                    <w:top w:val="none" w:sz="0" w:space="0" w:color="auto"/>
                                    <w:left w:val="none" w:sz="0" w:space="0" w:color="auto"/>
                                    <w:bottom w:val="none" w:sz="0" w:space="0" w:color="auto"/>
                                    <w:right w:val="none" w:sz="0" w:space="0" w:color="auto"/>
                                  </w:divBdr>
                                  <w:divsChild>
                                    <w:div w:id="607009179">
                                      <w:marLeft w:val="150"/>
                                      <w:marRight w:val="150"/>
                                      <w:marTop w:val="0"/>
                                      <w:marBottom w:val="0"/>
                                      <w:divBdr>
                                        <w:top w:val="none" w:sz="0" w:space="0" w:color="auto"/>
                                        <w:left w:val="none" w:sz="0" w:space="0" w:color="auto"/>
                                        <w:bottom w:val="none" w:sz="0" w:space="0" w:color="auto"/>
                                        <w:right w:val="none" w:sz="0" w:space="0" w:color="auto"/>
                                      </w:divBdr>
                                      <w:divsChild>
                                        <w:div w:id="1367438965">
                                          <w:marLeft w:val="0"/>
                                          <w:marRight w:val="0"/>
                                          <w:marTop w:val="0"/>
                                          <w:marBottom w:val="540"/>
                                          <w:divBdr>
                                            <w:top w:val="none" w:sz="0" w:space="0" w:color="auto"/>
                                            <w:left w:val="none" w:sz="0" w:space="0" w:color="auto"/>
                                            <w:bottom w:val="none" w:sz="0" w:space="0" w:color="auto"/>
                                            <w:right w:val="none" w:sz="0" w:space="0" w:color="auto"/>
                                          </w:divBdr>
                                          <w:divsChild>
                                            <w:div w:id="1060176491">
                                              <w:marLeft w:val="0"/>
                                              <w:marRight w:val="0"/>
                                              <w:marTop w:val="0"/>
                                              <w:marBottom w:val="0"/>
                                              <w:divBdr>
                                                <w:top w:val="none" w:sz="0" w:space="0" w:color="auto"/>
                                                <w:left w:val="none" w:sz="0" w:space="0" w:color="auto"/>
                                                <w:bottom w:val="none" w:sz="0" w:space="0" w:color="auto"/>
                                                <w:right w:val="none" w:sz="0" w:space="0" w:color="auto"/>
                                              </w:divBdr>
                                              <w:divsChild>
                                                <w:div w:id="1800681608">
                                                  <w:marLeft w:val="0"/>
                                                  <w:marRight w:val="0"/>
                                                  <w:marTop w:val="0"/>
                                                  <w:marBottom w:val="0"/>
                                                  <w:divBdr>
                                                    <w:top w:val="none" w:sz="0" w:space="0" w:color="auto"/>
                                                    <w:left w:val="none" w:sz="0" w:space="0" w:color="auto"/>
                                                    <w:bottom w:val="none" w:sz="0" w:space="0" w:color="auto"/>
                                                    <w:right w:val="none" w:sz="0" w:space="0" w:color="auto"/>
                                                  </w:divBdr>
                                                  <w:divsChild>
                                                    <w:div w:id="80493782">
                                                      <w:marLeft w:val="0"/>
                                                      <w:marRight w:val="0"/>
                                                      <w:marTop w:val="0"/>
                                                      <w:marBottom w:val="0"/>
                                                      <w:divBdr>
                                                        <w:top w:val="none" w:sz="0" w:space="0" w:color="auto"/>
                                                        <w:left w:val="none" w:sz="0" w:space="0" w:color="auto"/>
                                                        <w:bottom w:val="none" w:sz="0" w:space="0" w:color="auto"/>
                                                        <w:right w:val="none" w:sz="0" w:space="0" w:color="auto"/>
                                                      </w:divBdr>
                                                      <w:divsChild>
                                                        <w:div w:id="346638675">
                                                          <w:marLeft w:val="0"/>
                                                          <w:marRight w:val="0"/>
                                                          <w:marTop w:val="0"/>
                                                          <w:marBottom w:val="0"/>
                                                          <w:divBdr>
                                                            <w:top w:val="none" w:sz="0" w:space="0" w:color="auto"/>
                                                            <w:left w:val="none" w:sz="0" w:space="0" w:color="auto"/>
                                                            <w:bottom w:val="none" w:sz="0" w:space="0" w:color="auto"/>
                                                            <w:right w:val="none" w:sz="0" w:space="0" w:color="auto"/>
                                                          </w:divBdr>
                                                          <w:divsChild>
                                                            <w:div w:id="14691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3983523">
      <w:bodyDiv w:val="1"/>
      <w:marLeft w:val="0"/>
      <w:marRight w:val="0"/>
      <w:marTop w:val="0"/>
      <w:marBottom w:val="0"/>
      <w:divBdr>
        <w:top w:val="none" w:sz="0" w:space="0" w:color="auto"/>
        <w:left w:val="none" w:sz="0" w:space="0" w:color="auto"/>
        <w:bottom w:val="none" w:sz="0" w:space="0" w:color="auto"/>
        <w:right w:val="none" w:sz="0" w:space="0" w:color="auto"/>
      </w:divBdr>
    </w:div>
    <w:div w:id="1799376671">
      <w:bodyDiv w:val="1"/>
      <w:marLeft w:val="0"/>
      <w:marRight w:val="0"/>
      <w:marTop w:val="0"/>
      <w:marBottom w:val="0"/>
      <w:divBdr>
        <w:top w:val="none" w:sz="0" w:space="0" w:color="auto"/>
        <w:left w:val="none" w:sz="0" w:space="0" w:color="auto"/>
        <w:bottom w:val="none" w:sz="0" w:space="0" w:color="auto"/>
        <w:right w:val="none" w:sz="0" w:space="0" w:color="auto"/>
      </w:divBdr>
    </w:div>
    <w:div w:id="1871606139">
      <w:bodyDiv w:val="1"/>
      <w:marLeft w:val="0"/>
      <w:marRight w:val="0"/>
      <w:marTop w:val="0"/>
      <w:marBottom w:val="0"/>
      <w:divBdr>
        <w:top w:val="none" w:sz="0" w:space="0" w:color="auto"/>
        <w:left w:val="none" w:sz="0" w:space="0" w:color="auto"/>
        <w:bottom w:val="none" w:sz="0" w:space="0" w:color="auto"/>
        <w:right w:val="none" w:sz="0" w:space="0" w:color="auto"/>
      </w:divBdr>
      <w:divsChild>
        <w:div w:id="412626169">
          <w:marLeft w:val="0"/>
          <w:marRight w:val="0"/>
          <w:marTop w:val="0"/>
          <w:marBottom w:val="0"/>
          <w:divBdr>
            <w:top w:val="none" w:sz="0" w:space="0" w:color="auto"/>
            <w:left w:val="none" w:sz="0" w:space="0" w:color="auto"/>
            <w:bottom w:val="none" w:sz="0" w:space="0" w:color="auto"/>
            <w:right w:val="none" w:sz="0" w:space="0" w:color="auto"/>
          </w:divBdr>
          <w:divsChild>
            <w:div w:id="386875774">
              <w:marLeft w:val="0"/>
              <w:marRight w:val="0"/>
              <w:marTop w:val="0"/>
              <w:marBottom w:val="0"/>
              <w:divBdr>
                <w:top w:val="none" w:sz="0" w:space="0" w:color="auto"/>
                <w:left w:val="none" w:sz="0" w:space="0" w:color="auto"/>
                <w:bottom w:val="none" w:sz="0" w:space="0" w:color="auto"/>
                <w:right w:val="none" w:sz="0" w:space="0" w:color="auto"/>
              </w:divBdr>
              <w:divsChild>
                <w:div w:id="1895388043">
                  <w:marLeft w:val="0"/>
                  <w:marRight w:val="0"/>
                  <w:marTop w:val="0"/>
                  <w:marBottom w:val="0"/>
                  <w:divBdr>
                    <w:top w:val="none" w:sz="0" w:space="0" w:color="auto"/>
                    <w:left w:val="none" w:sz="0" w:space="0" w:color="auto"/>
                    <w:bottom w:val="none" w:sz="0" w:space="0" w:color="auto"/>
                    <w:right w:val="none" w:sz="0" w:space="0" w:color="auto"/>
                  </w:divBdr>
                  <w:divsChild>
                    <w:div w:id="1834486561">
                      <w:marLeft w:val="0"/>
                      <w:marRight w:val="0"/>
                      <w:marTop w:val="0"/>
                      <w:marBottom w:val="0"/>
                      <w:divBdr>
                        <w:top w:val="none" w:sz="0" w:space="0" w:color="auto"/>
                        <w:left w:val="none" w:sz="0" w:space="0" w:color="auto"/>
                        <w:bottom w:val="none" w:sz="0" w:space="0" w:color="auto"/>
                        <w:right w:val="none" w:sz="0" w:space="0" w:color="auto"/>
                      </w:divBdr>
                      <w:divsChild>
                        <w:div w:id="1141506221">
                          <w:marLeft w:val="0"/>
                          <w:marRight w:val="0"/>
                          <w:marTop w:val="0"/>
                          <w:marBottom w:val="0"/>
                          <w:divBdr>
                            <w:top w:val="none" w:sz="0" w:space="0" w:color="auto"/>
                            <w:left w:val="none" w:sz="0" w:space="0" w:color="auto"/>
                            <w:bottom w:val="none" w:sz="0" w:space="0" w:color="auto"/>
                            <w:right w:val="none" w:sz="0" w:space="0" w:color="auto"/>
                          </w:divBdr>
                          <w:divsChild>
                            <w:div w:id="424378142">
                              <w:marLeft w:val="0"/>
                              <w:marRight w:val="0"/>
                              <w:marTop w:val="0"/>
                              <w:marBottom w:val="300"/>
                              <w:divBdr>
                                <w:top w:val="none" w:sz="0" w:space="0" w:color="auto"/>
                                <w:left w:val="none" w:sz="0" w:space="0" w:color="auto"/>
                                <w:bottom w:val="none" w:sz="0" w:space="0" w:color="auto"/>
                                <w:right w:val="none" w:sz="0" w:space="0" w:color="auto"/>
                              </w:divBdr>
                              <w:divsChild>
                                <w:div w:id="641496883">
                                  <w:marLeft w:val="0"/>
                                  <w:marRight w:val="0"/>
                                  <w:marTop w:val="0"/>
                                  <w:marBottom w:val="0"/>
                                  <w:divBdr>
                                    <w:top w:val="none" w:sz="0" w:space="0" w:color="auto"/>
                                    <w:left w:val="none" w:sz="0" w:space="0" w:color="auto"/>
                                    <w:bottom w:val="none" w:sz="0" w:space="0" w:color="auto"/>
                                    <w:right w:val="none" w:sz="0" w:space="0" w:color="auto"/>
                                  </w:divBdr>
                                  <w:divsChild>
                                    <w:div w:id="702250020">
                                      <w:marLeft w:val="150"/>
                                      <w:marRight w:val="150"/>
                                      <w:marTop w:val="0"/>
                                      <w:marBottom w:val="0"/>
                                      <w:divBdr>
                                        <w:top w:val="none" w:sz="0" w:space="0" w:color="auto"/>
                                        <w:left w:val="none" w:sz="0" w:space="0" w:color="auto"/>
                                        <w:bottom w:val="none" w:sz="0" w:space="0" w:color="auto"/>
                                        <w:right w:val="none" w:sz="0" w:space="0" w:color="auto"/>
                                      </w:divBdr>
                                      <w:divsChild>
                                        <w:div w:id="2054427974">
                                          <w:marLeft w:val="0"/>
                                          <w:marRight w:val="0"/>
                                          <w:marTop w:val="0"/>
                                          <w:marBottom w:val="540"/>
                                          <w:divBdr>
                                            <w:top w:val="none" w:sz="0" w:space="0" w:color="auto"/>
                                            <w:left w:val="none" w:sz="0" w:space="0" w:color="auto"/>
                                            <w:bottom w:val="none" w:sz="0" w:space="0" w:color="auto"/>
                                            <w:right w:val="none" w:sz="0" w:space="0" w:color="auto"/>
                                          </w:divBdr>
                                          <w:divsChild>
                                            <w:div w:id="1331181145">
                                              <w:marLeft w:val="0"/>
                                              <w:marRight w:val="0"/>
                                              <w:marTop w:val="0"/>
                                              <w:marBottom w:val="0"/>
                                              <w:divBdr>
                                                <w:top w:val="none" w:sz="0" w:space="0" w:color="auto"/>
                                                <w:left w:val="none" w:sz="0" w:space="0" w:color="auto"/>
                                                <w:bottom w:val="none" w:sz="0" w:space="0" w:color="auto"/>
                                                <w:right w:val="none" w:sz="0" w:space="0" w:color="auto"/>
                                              </w:divBdr>
                                              <w:divsChild>
                                                <w:div w:id="1075979155">
                                                  <w:marLeft w:val="0"/>
                                                  <w:marRight w:val="0"/>
                                                  <w:marTop w:val="0"/>
                                                  <w:marBottom w:val="0"/>
                                                  <w:divBdr>
                                                    <w:top w:val="none" w:sz="0" w:space="0" w:color="auto"/>
                                                    <w:left w:val="none" w:sz="0" w:space="0" w:color="auto"/>
                                                    <w:bottom w:val="none" w:sz="0" w:space="0" w:color="auto"/>
                                                    <w:right w:val="none" w:sz="0" w:space="0" w:color="auto"/>
                                                  </w:divBdr>
                                                  <w:divsChild>
                                                    <w:div w:id="1503082405">
                                                      <w:marLeft w:val="0"/>
                                                      <w:marRight w:val="0"/>
                                                      <w:marTop w:val="0"/>
                                                      <w:marBottom w:val="0"/>
                                                      <w:divBdr>
                                                        <w:top w:val="none" w:sz="0" w:space="0" w:color="auto"/>
                                                        <w:left w:val="none" w:sz="0" w:space="0" w:color="auto"/>
                                                        <w:bottom w:val="none" w:sz="0" w:space="0" w:color="auto"/>
                                                        <w:right w:val="none" w:sz="0" w:space="0" w:color="auto"/>
                                                      </w:divBdr>
                                                      <w:divsChild>
                                                        <w:div w:id="1900746285">
                                                          <w:marLeft w:val="0"/>
                                                          <w:marRight w:val="0"/>
                                                          <w:marTop w:val="0"/>
                                                          <w:marBottom w:val="0"/>
                                                          <w:divBdr>
                                                            <w:top w:val="none" w:sz="0" w:space="0" w:color="auto"/>
                                                            <w:left w:val="none" w:sz="0" w:space="0" w:color="auto"/>
                                                            <w:bottom w:val="none" w:sz="0" w:space="0" w:color="auto"/>
                                                            <w:right w:val="none" w:sz="0" w:space="0" w:color="auto"/>
                                                          </w:divBdr>
                                                          <w:divsChild>
                                                            <w:div w:id="259220270">
                                                              <w:marLeft w:val="0"/>
                                                              <w:marRight w:val="0"/>
                                                              <w:marTop w:val="0"/>
                                                              <w:marBottom w:val="0"/>
                                                              <w:divBdr>
                                                                <w:top w:val="none" w:sz="0" w:space="0" w:color="auto"/>
                                                                <w:left w:val="none" w:sz="0" w:space="0" w:color="auto"/>
                                                                <w:bottom w:val="none" w:sz="0" w:space="0" w:color="auto"/>
                                                                <w:right w:val="none" w:sz="0" w:space="0" w:color="auto"/>
                                                              </w:divBdr>
                                                              <w:divsChild>
                                                                <w:div w:id="1106190965">
                                                                  <w:marLeft w:val="720"/>
                                                                  <w:marRight w:val="0"/>
                                                                  <w:marTop w:val="0"/>
                                                                  <w:marBottom w:val="0"/>
                                                                  <w:divBdr>
                                                                    <w:top w:val="none" w:sz="0" w:space="0" w:color="auto"/>
                                                                    <w:left w:val="none" w:sz="0" w:space="0" w:color="auto"/>
                                                                    <w:bottom w:val="none" w:sz="0" w:space="0" w:color="auto"/>
                                                                    <w:right w:val="none" w:sz="0" w:space="0" w:color="auto"/>
                                                                  </w:divBdr>
                                                                </w:div>
                                                                <w:div w:id="1322808597">
                                                                  <w:marLeft w:val="720"/>
                                                                  <w:marRight w:val="0"/>
                                                                  <w:marTop w:val="0"/>
                                                                  <w:marBottom w:val="0"/>
                                                                  <w:divBdr>
                                                                    <w:top w:val="none" w:sz="0" w:space="0" w:color="auto"/>
                                                                    <w:left w:val="none" w:sz="0" w:space="0" w:color="auto"/>
                                                                    <w:bottom w:val="none" w:sz="0" w:space="0" w:color="auto"/>
                                                                    <w:right w:val="none" w:sz="0" w:space="0" w:color="auto"/>
                                                                  </w:divBdr>
                                                                </w:div>
                                                                <w:div w:id="1469739890">
                                                                  <w:marLeft w:val="720"/>
                                                                  <w:marRight w:val="0"/>
                                                                  <w:marTop w:val="0"/>
                                                                  <w:marBottom w:val="0"/>
                                                                  <w:divBdr>
                                                                    <w:top w:val="none" w:sz="0" w:space="0" w:color="auto"/>
                                                                    <w:left w:val="none" w:sz="0" w:space="0" w:color="auto"/>
                                                                    <w:bottom w:val="none" w:sz="0" w:space="0" w:color="auto"/>
                                                                    <w:right w:val="none" w:sz="0" w:space="0" w:color="auto"/>
                                                                  </w:divBdr>
                                                                </w:div>
                                                                <w:div w:id="1717775958">
                                                                  <w:marLeft w:val="720"/>
                                                                  <w:marRight w:val="0"/>
                                                                  <w:marTop w:val="0"/>
                                                                  <w:marBottom w:val="0"/>
                                                                  <w:divBdr>
                                                                    <w:top w:val="none" w:sz="0" w:space="0" w:color="auto"/>
                                                                    <w:left w:val="none" w:sz="0" w:space="0" w:color="auto"/>
                                                                    <w:bottom w:val="none" w:sz="0" w:space="0" w:color="auto"/>
                                                                    <w:right w:val="none" w:sz="0" w:space="0" w:color="auto"/>
                                                                  </w:divBdr>
                                                                </w:div>
                                                                <w:div w:id="1968854201">
                                                                  <w:marLeft w:val="720"/>
                                                                  <w:marRight w:val="0"/>
                                                                  <w:marTop w:val="0"/>
                                                                  <w:marBottom w:val="0"/>
                                                                  <w:divBdr>
                                                                    <w:top w:val="none" w:sz="0" w:space="0" w:color="auto"/>
                                                                    <w:left w:val="none" w:sz="0" w:space="0" w:color="auto"/>
                                                                    <w:bottom w:val="none" w:sz="0" w:space="0" w:color="auto"/>
                                                                    <w:right w:val="none" w:sz="0" w:space="0" w:color="auto"/>
                                                                  </w:divBdr>
                                                                </w:div>
                                                                <w:div w:id="214099974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78463820">
      <w:bodyDiv w:val="1"/>
      <w:marLeft w:val="0"/>
      <w:marRight w:val="0"/>
      <w:marTop w:val="0"/>
      <w:marBottom w:val="0"/>
      <w:divBdr>
        <w:top w:val="none" w:sz="0" w:space="0" w:color="auto"/>
        <w:left w:val="none" w:sz="0" w:space="0" w:color="auto"/>
        <w:bottom w:val="none" w:sz="0" w:space="0" w:color="auto"/>
        <w:right w:val="none" w:sz="0" w:space="0" w:color="auto"/>
      </w:divBdr>
    </w:div>
    <w:div w:id="2139059201">
      <w:bodyDiv w:val="1"/>
      <w:marLeft w:val="0"/>
      <w:marRight w:val="0"/>
      <w:marTop w:val="0"/>
      <w:marBottom w:val="0"/>
      <w:divBdr>
        <w:top w:val="none" w:sz="0" w:space="0" w:color="auto"/>
        <w:left w:val="none" w:sz="0" w:space="0" w:color="auto"/>
        <w:bottom w:val="none" w:sz="0" w:space="0" w:color="auto"/>
        <w:right w:val="none" w:sz="0" w:space="0" w:color="auto"/>
      </w:divBdr>
      <w:divsChild>
        <w:div w:id="2055543880">
          <w:marLeft w:val="0"/>
          <w:marRight w:val="0"/>
          <w:marTop w:val="0"/>
          <w:marBottom w:val="0"/>
          <w:divBdr>
            <w:top w:val="none" w:sz="0" w:space="0" w:color="auto"/>
            <w:left w:val="none" w:sz="0" w:space="0" w:color="auto"/>
            <w:bottom w:val="none" w:sz="0" w:space="0" w:color="auto"/>
            <w:right w:val="none" w:sz="0" w:space="0" w:color="auto"/>
          </w:divBdr>
          <w:divsChild>
            <w:div w:id="1052195644">
              <w:marLeft w:val="0"/>
              <w:marRight w:val="0"/>
              <w:marTop w:val="0"/>
              <w:marBottom w:val="0"/>
              <w:divBdr>
                <w:top w:val="none" w:sz="0" w:space="0" w:color="auto"/>
                <w:left w:val="none" w:sz="0" w:space="0" w:color="auto"/>
                <w:bottom w:val="none" w:sz="0" w:space="0" w:color="auto"/>
                <w:right w:val="none" w:sz="0" w:space="0" w:color="auto"/>
              </w:divBdr>
              <w:divsChild>
                <w:div w:id="1946426869">
                  <w:marLeft w:val="0"/>
                  <w:marRight w:val="0"/>
                  <w:marTop w:val="0"/>
                  <w:marBottom w:val="0"/>
                  <w:divBdr>
                    <w:top w:val="none" w:sz="0" w:space="0" w:color="auto"/>
                    <w:left w:val="none" w:sz="0" w:space="0" w:color="auto"/>
                    <w:bottom w:val="none" w:sz="0" w:space="0" w:color="auto"/>
                    <w:right w:val="none" w:sz="0" w:space="0" w:color="auto"/>
                  </w:divBdr>
                  <w:divsChild>
                    <w:div w:id="1323437263">
                      <w:marLeft w:val="0"/>
                      <w:marRight w:val="0"/>
                      <w:marTop w:val="0"/>
                      <w:marBottom w:val="0"/>
                      <w:divBdr>
                        <w:top w:val="none" w:sz="0" w:space="0" w:color="auto"/>
                        <w:left w:val="none" w:sz="0" w:space="0" w:color="auto"/>
                        <w:bottom w:val="none" w:sz="0" w:space="0" w:color="auto"/>
                        <w:right w:val="none" w:sz="0" w:space="0" w:color="auto"/>
                      </w:divBdr>
                      <w:divsChild>
                        <w:div w:id="217981466">
                          <w:marLeft w:val="0"/>
                          <w:marRight w:val="0"/>
                          <w:marTop w:val="0"/>
                          <w:marBottom w:val="0"/>
                          <w:divBdr>
                            <w:top w:val="none" w:sz="0" w:space="0" w:color="auto"/>
                            <w:left w:val="none" w:sz="0" w:space="0" w:color="auto"/>
                            <w:bottom w:val="none" w:sz="0" w:space="0" w:color="auto"/>
                            <w:right w:val="none" w:sz="0" w:space="0" w:color="auto"/>
                          </w:divBdr>
                          <w:divsChild>
                            <w:div w:id="2122645658">
                              <w:marLeft w:val="0"/>
                              <w:marRight w:val="0"/>
                              <w:marTop w:val="0"/>
                              <w:marBottom w:val="300"/>
                              <w:divBdr>
                                <w:top w:val="none" w:sz="0" w:space="0" w:color="auto"/>
                                <w:left w:val="none" w:sz="0" w:space="0" w:color="auto"/>
                                <w:bottom w:val="none" w:sz="0" w:space="0" w:color="auto"/>
                                <w:right w:val="none" w:sz="0" w:space="0" w:color="auto"/>
                              </w:divBdr>
                              <w:divsChild>
                                <w:div w:id="1973516463">
                                  <w:marLeft w:val="0"/>
                                  <w:marRight w:val="0"/>
                                  <w:marTop w:val="0"/>
                                  <w:marBottom w:val="0"/>
                                  <w:divBdr>
                                    <w:top w:val="none" w:sz="0" w:space="0" w:color="auto"/>
                                    <w:left w:val="none" w:sz="0" w:space="0" w:color="auto"/>
                                    <w:bottom w:val="none" w:sz="0" w:space="0" w:color="auto"/>
                                    <w:right w:val="none" w:sz="0" w:space="0" w:color="auto"/>
                                  </w:divBdr>
                                  <w:divsChild>
                                    <w:div w:id="1690446630">
                                      <w:marLeft w:val="150"/>
                                      <w:marRight w:val="150"/>
                                      <w:marTop w:val="0"/>
                                      <w:marBottom w:val="0"/>
                                      <w:divBdr>
                                        <w:top w:val="none" w:sz="0" w:space="0" w:color="auto"/>
                                        <w:left w:val="none" w:sz="0" w:space="0" w:color="auto"/>
                                        <w:bottom w:val="none" w:sz="0" w:space="0" w:color="auto"/>
                                        <w:right w:val="none" w:sz="0" w:space="0" w:color="auto"/>
                                      </w:divBdr>
                                      <w:divsChild>
                                        <w:div w:id="2018002237">
                                          <w:marLeft w:val="0"/>
                                          <w:marRight w:val="0"/>
                                          <w:marTop w:val="0"/>
                                          <w:marBottom w:val="540"/>
                                          <w:divBdr>
                                            <w:top w:val="none" w:sz="0" w:space="0" w:color="auto"/>
                                            <w:left w:val="none" w:sz="0" w:space="0" w:color="auto"/>
                                            <w:bottom w:val="none" w:sz="0" w:space="0" w:color="auto"/>
                                            <w:right w:val="none" w:sz="0" w:space="0" w:color="auto"/>
                                          </w:divBdr>
                                          <w:divsChild>
                                            <w:div w:id="1137263751">
                                              <w:marLeft w:val="0"/>
                                              <w:marRight w:val="0"/>
                                              <w:marTop w:val="0"/>
                                              <w:marBottom w:val="0"/>
                                              <w:divBdr>
                                                <w:top w:val="none" w:sz="0" w:space="0" w:color="auto"/>
                                                <w:left w:val="none" w:sz="0" w:space="0" w:color="auto"/>
                                                <w:bottom w:val="none" w:sz="0" w:space="0" w:color="auto"/>
                                                <w:right w:val="none" w:sz="0" w:space="0" w:color="auto"/>
                                              </w:divBdr>
                                              <w:divsChild>
                                                <w:div w:id="227956810">
                                                  <w:marLeft w:val="0"/>
                                                  <w:marRight w:val="0"/>
                                                  <w:marTop w:val="0"/>
                                                  <w:marBottom w:val="0"/>
                                                  <w:divBdr>
                                                    <w:top w:val="none" w:sz="0" w:space="0" w:color="auto"/>
                                                    <w:left w:val="none" w:sz="0" w:space="0" w:color="auto"/>
                                                    <w:bottom w:val="none" w:sz="0" w:space="0" w:color="auto"/>
                                                    <w:right w:val="none" w:sz="0" w:space="0" w:color="auto"/>
                                                  </w:divBdr>
                                                  <w:divsChild>
                                                    <w:div w:id="606615906">
                                                      <w:marLeft w:val="0"/>
                                                      <w:marRight w:val="0"/>
                                                      <w:marTop w:val="0"/>
                                                      <w:marBottom w:val="0"/>
                                                      <w:divBdr>
                                                        <w:top w:val="none" w:sz="0" w:space="0" w:color="auto"/>
                                                        <w:left w:val="none" w:sz="0" w:space="0" w:color="auto"/>
                                                        <w:bottom w:val="none" w:sz="0" w:space="0" w:color="auto"/>
                                                        <w:right w:val="none" w:sz="0" w:space="0" w:color="auto"/>
                                                      </w:divBdr>
                                                      <w:divsChild>
                                                        <w:div w:id="423065499">
                                                          <w:marLeft w:val="0"/>
                                                          <w:marRight w:val="0"/>
                                                          <w:marTop w:val="0"/>
                                                          <w:marBottom w:val="0"/>
                                                          <w:divBdr>
                                                            <w:top w:val="none" w:sz="0" w:space="0" w:color="auto"/>
                                                            <w:left w:val="none" w:sz="0" w:space="0" w:color="auto"/>
                                                            <w:bottom w:val="none" w:sz="0" w:space="0" w:color="auto"/>
                                                            <w:right w:val="none" w:sz="0" w:space="0" w:color="auto"/>
                                                          </w:divBdr>
                                                          <w:divsChild>
                                                            <w:div w:id="1364592651">
                                                              <w:marLeft w:val="0"/>
                                                              <w:marRight w:val="0"/>
                                                              <w:marTop w:val="0"/>
                                                              <w:marBottom w:val="0"/>
                                                              <w:divBdr>
                                                                <w:top w:val="none" w:sz="0" w:space="0" w:color="auto"/>
                                                                <w:left w:val="none" w:sz="0" w:space="0" w:color="auto"/>
                                                                <w:bottom w:val="none" w:sz="0" w:space="0" w:color="auto"/>
                                                                <w:right w:val="none" w:sz="0" w:space="0" w:color="auto"/>
                                                              </w:divBdr>
                                                              <w:divsChild>
                                                                <w:div w:id="1759978037">
                                                                  <w:marLeft w:val="0"/>
                                                                  <w:marRight w:val="0"/>
                                                                  <w:marTop w:val="0"/>
                                                                  <w:marBottom w:val="0"/>
                                                                  <w:divBdr>
                                                                    <w:top w:val="none" w:sz="0" w:space="0" w:color="auto"/>
                                                                    <w:left w:val="none" w:sz="0" w:space="0" w:color="auto"/>
                                                                    <w:bottom w:val="none" w:sz="0" w:space="0" w:color="auto"/>
                                                                    <w:right w:val="none" w:sz="0" w:space="0" w:color="auto"/>
                                                                  </w:divBdr>
                                                                  <w:divsChild>
                                                                    <w:div w:id="704713962">
                                                                      <w:marLeft w:val="0"/>
                                                                      <w:marRight w:val="0"/>
                                                                      <w:marTop w:val="0"/>
                                                                      <w:marBottom w:val="0"/>
                                                                      <w:divBdr>
                                                                        <w:top w:val="none" w:sz="0" w:space="0" w:color="auto"/>
                                                                        <w:left w:val="none" w:sz="0" w:space="0" w:color="auto"/>
                                                                        <w:bottom w:val="none" w:sz="0" w:space="0" w:color="auto"/>
                                                                        <w:right w:val="none" w:sz="0" w:space="0" w:color="auto"/>
                                                                      </w:divBdr>
                                                                      <w:divsChild>
                                                                        <w:div w:id="5262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0A364A-EB9C-451C-A4D2-4A9BED8361CF}"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3698DC7C-1820-4D98-BBCB-64061C9A2B01}">
      <dgm:prSet>
        <dgm:style>
          <a:lnRef idx="2">
            <a:schemeClr val="dk1"/>
          </a:lnRef>
          <a:fillRef idx="1">
            <a:schemeClr val="lt1"/>
          </a:fillRef>
          <a:effectRef idx="0">
            <a:schemeClr val="dk1"/>
          </a:effectRef>
          <a:fontRef idx="minor">
            <a:schemeClr val="dk1"/>
          </a:fontRef>
        </dgm:style>
      </dgm:prSet>
      <dgm:spPr/>
      <dgm:t>
        <a:bodyPr/>
        <a:lstStyle/>
        <a:p>
          <a:r>
            <a:rPr lang="en-US"/>
            <a:t>CenterPoint Energy Service Company</a:t>
          </a:r>
        </a:p>
      </dgm:t>
    </dgm:pt>
    <dgm:pt modelId="{5D7A4C0D-6A92-44AF-8EAA-44770E42F890}" type="parTrans" cxnId="{F72D4871-CF84-49EC-BF8E-3BC2475FF3EC}">
      <dgm:prSet/>
      <dgm:spPr/>
      <dgm:t>
        <a:bodyPr/>
        <a:lstStyle/>
        <a:p>
          <a:endParaRPr lang="en-US"/>
        </a:p>
      </dgm:t>
    </dgm:pt>
    <dgm:pt modelId="{5FEA9C30-BF68-409E-A4C7-F92240BE4823}" type="sibTrans" cxnId="{F72D4871-CF84-49EC-BF8E-3BC2475FF3EC}">
      <dgm:prSet/>
      <dgm:spPr/>
      <dgm:t>
        <a:bodyPr/>
        <a:lstStyle/>
        <a:p>
          <a:endParaRPr lang="en-US"/>
        </a:p>
      </dgm:t>
    </dgm:pt>
    <dgm:pt modelId="{DD44652B-2CF5-4D32-B639-87574A16CC33}">
      <dgm:prSet>
        <dgm:style>
          <a:lnRef idx="2">
            <a:schemeClr val="dk1"/>
          </a:lnRef>
          <a:fillRef idx="1">
            <a:schemeClr val="lt1"/>
          </a:fillRef>
          <a:effectRef idx="0">
            <a:schemeClr val="dk1"/>
          </a:effectRef>
          <a:fontRef idx="minor">
            <a:schemeClr val="dk1"/>
          </a:fontRef>
        </dgm:style>
      </dgm:prSet>
      <dgm:spPr/>
      <dgm:t>
        <a:bodyPr/>
        <a:lstStyle/>
        <a:p>
          <a:r>
            <a:rPr lang="en-US"/>
            <a:t>Corporate Services</a:t>
          </a:r>
        </a:p>
      </dgm:t>
    </dgm:pt>
    <dgm:pt modelId="{16C9DF2E-DBB5-46B9-B240-72B12996826F}" type="parTrans" cxnId="{24414396-DA31-4E8B-8C60-4C4ED73AF140}">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CDEAB4D0-BD82-4D04-813F-6CD174A3A32E}" type="sibTrans" cxnId="{24414396-DA31-4E8B-8C60-4C4ED73AF140}">
      <dgm:prSet/>
      <dgm:spPr/>
      <dgm:t>
        <a:bodyPr/>
        <a:lstStyle/>
        <a:p>
          <a:endParaRPr lang="en-US"/>
        </a:p>
      </dgm:t>
    </dgm:pt>
    <dgm:pt modelId="{5F5A87B2-76CF-4D0E-9F54-F0AD9852835A}">
      <dgm:prSet>
        <dgm:style>
          <a:lnRef idx="2">
            <a:schemeClr val="dk1"/>
          </a:lnRef>
          <a:fillRef idx="1">
            <a:schemeClr val="lt1"/>
          </a:fillRef>
          <a:effectRef idx="0">
            <a:schemeClr val="dk1"/>
          </a:effectRef>
          <a:fontRef idx="minor">
            <a:schemeClr val="dk1"/>
          </a:fontRef>
        </dgm:style>
      </dgm:prSet>
      <dgm:spPr/>
      <dgm:t>
        <a:bodyPr/>
        <a:lstStyle/>
        <a:p>
          <a:r>
            <a:rPr lang="en-US"/>
            <a:t>Customer Transformation and Business Services</a:t>
          </a:r>
        </a:p>
      </dgm:t>
    </dgm:pt>
    <dgm:pt modelId="{0AC87036-103A-4187-8EE0-C1FEE76C86EF}" type="parTrans" cxnId="{3B02FE2E-AA35-449B-B192-19F704D47168}">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3ABBF2D0-4A2C-46EE-8928-8A1C790B2A8A}" type="sibTrans" cxnId="{3B02FE2E-AA35-449B-B192-19F704D47168}">
      <dgm:prSet/>
      <dgm:spPr/>
      <dgm:t>
        <a:bodyPr/>
        <a:lstStyle/>
        <a:p>
          <a:endParaRPr lang="en-US"/>
        </a:p>
      </dgm:t>
    </dgm:pt>
    <dgm:pt modelId="{04D29836-6C6C-461D-9BB7-AC4D7E931726}">
      <dgm:prSet>
        <dgm:style>
          <a:lnRef idx="2">
            <a:schemeClr val="dk1"/>
          </a:lnRef>
          <a:fillRef idx="1">
            <a:schemeClr val="lt1"/>
          </a:fillRef>
          <a:effectRef idx="0">
            <a:schemeClr val="dk1"/>
          </a:effectRef>
          <a:fontRef idx="minor">
            <a:schemeClr val="dk1"/>
          </a:fontRef>
        </dgm:style>
      </dgm:prSet>
      <dgm:spPr/>
      <dgm:t>
        <a:bodyPr/>
        <a:lstStyle/>
        <a:p>
          <a:r>
            <a:rPr lang="en-US"/>
            <a:t>Regulatory Services and Government Affairs</a:t>
          </a:r>
        </a:p>
      </dgm:t>
    </dgm:pt>
    <dgm:pt modelId="{63F345B5-3BD6-4A28-B16E-35914E3C408E}" type="parTrans" cxnId="{E588CB31-2945-44FD-969C-CF49561A1464}">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C5F67FE8-D03E-4191-B887-F4004E654A57}" type="sibTrans" cxnId="{E588CB31-2945-44FD-969C-CF49561A1464}">
      <dgm:prSet/>
      <dgm:spPr/>
      <dgm:t>
        <a:bodyPr/>
        <a:lstStyle/>
        <a:p>
          <a:endParaRPr lang="en-US"/>
        </a:p>
      </dgm:t>
    </dgm:pt>
    <dgm:pt modelId="{47DD6F8C-72CA-457F-A473-DCF25EFFAE0D}">
      <dgm:prSet>
        <dgm:style>
          <a:lnRef idx="2">
            <a:schemeClr val="dk1"/>
          </a:lnRef>
          <a:fillRef idx="1">
            <a:schemeClr val="lt1"/>
          </a:fillRef>
          <a:effectRef idx="0">
            <a:schemeClr val="dk1"/>
          </a:effectRef>
          <a:fontRef idx="minor">
            <a:schemeClr val="dk1"/>
          </a:fontRef>
        </dgm:style>
      </dgm:prSet>
      <dgm:spPr/>
      <dgm:t>
        <a:bodyPr/>
        <a:lstStyle/>
        <a:p>
          <a:r>
            <a:rPr lang="en-US"/>
            <a:t>Rates and Regulatory Portfolio Management</a:t>
          </a:r>
        </a:p>
      </dgm:t>
    </dgm:pt>
    <dgm:pt modelId="{D103F717-3D8E-4F8C-B81E-10AE128695D7}" type="parTrans" cxnId="{A2F82E92-29E1-4B91-8412-B8BE11DF6083}">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18CF7DFC-02CF-460F-9112-F60BE42B7C1A}" type="sibTrans" cxnId="{A2F82E92-29E1-4B91-8412-B8BE11DF6083}">
      <dgm:prSet/>
      <dgm:spPr/>
      <dgm:t>
        <a:bodyPr/>
        <a:lstStyle/>
        <a:p>
          <a:endParaRPr lang="en-US"/>
        </a:p>
      </dgm:t>
    </dgm:pt>
    <dgm:pt modelId="{A14FEA21-5DBD-4089-8C41-0B9E3608AD38}">
      <dgm:prSet>
        <dgm:style>
          <a:lnRef idx="2">
            <a:schemeClr val="dk1"/>
          </a:lnRef>
          <a:fillRef idx="1">
            <a:schemeClr val="lt1"/>
          </a:fillRef>
          <a:effectRef idx="0">
            <a:schemeClr val="dk1"/>
          </a:effectRef>
          <a:fontRef idx="minor">
            <a:schemeClr val="dk1"/>
          </a:fontRef>
        </dgm:style>
      </dgm:prSet>
      <dgm:spPr/>
      <dgm:t>
        <a:bodyPr/>
        <a:lstStyle/>
        <a:p>
          <a:r>
            <a:rPr lang="en-US"/>
            <a:t>Regulatory Relations</a:t>
          </a:r>
        </a:p>
      </dgm:t>
    </dgm:pt>
    <dgm:pt modelId="{D3E1F7BD-3BAE-4FB7-808A-2995D41C8D41}" type="parTrans" cxnId="{98DB0AEC-15D0-4DEF-90A8-6EF0BFE4363A}">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D45038E4-797C-4573-8F3C-07D4C5A5C11B}" type="sibTrans" cxnId="{98DB0AEC-15D0-4DEF-90A8-6EF0BFE4363A}">
      <dgm:prSet/>
      <dgm:spPr/>
      <dgm:t>
        <a:bodyPr/>
        <a:lstStyle/>
        <a:p>
          <a:endParaRPr lang="en-US"/>
        </a:p>
      </dgm:t>
    </dgm:pt>
    <dgm:pt modelId="{56CB1011-347C-49DA-B225-C86067C89E88}">
      <dgm:prSet>
        <dgm:style>
          <a:lnRef idx="2">
            <a:schemeClr val="dk1"/>
          </a:lnRef>
          <a:fillRef idx="1">
            <a:schemeClr val="lt1"/>
          </a:fillRef>
          <a:effectRef idx="0">
            <a:schemeClr val="dk1"/>
          </a:effectRef>
          <a:fontRef idx="minor">
            <a:schemeClr val="dk1"/>
          </a:fontRef>
        </dgm:style>
      </dgm:prSet>
      <dgm:spPr/>
      <dgm:t>
        <a:bodyPr/>
        <a:lstStyle/>
        <a:p>
          <a:r>
            <a:rPr lang="en-US"/>
            <a:t>Regulatory Policy</a:t>
          </a:r>
        </a:p>
      </dgm:t>
    </dgm:pt>
    <dgm:pt modelId="{1793A41F-1812-4E5D-9C52-4F74EF7FB18A}" type="parTrans" cxnId="{5F912E23-BAA7-431F-B3EA-009BD1EC543C}">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7B883C2D-C805-4FA3-BA39-01BF6103BEF1}" type="sibTrans" cxnId="{5F912E23-BAA7-431F-B3EA-009BD1EC543C}">
      <dgm:prSet/>
      <dgm:spPr/>
      <dgm:t>
        <a:bodyPr/>
        <a:lstStyle/>
        <a:p>
          <a:endParaRPr lang="en-US"/>
        </a:p>
      </dgm:t>
    </dgm:pt>
    <dgm:pt modelId="{F1C451B3-BF8A-433D-8FE8-F580EE9000A6}">
      <dgm:prSet>
        <dgm:style>
          <a:lnRef idx="2">
            <a:schemeClr val="dk1"/>
          </a:lnRef>
          <a:fillRef idx="1">
            <a:schemeClr val="lt1"/>
          </a:fillRef>
          <a:effectRef idx="0">
            <a:schemeClr val="dk1"/>
          </a:effectRef>
          <a:fontRef idx="minor">
            <a:schemeClr val="dk1"/>
          </a:fontRef>
        </dgm:style>
      </dgm:prSet>
      <dgm:spPr/>
      <dgm:t>
        <a:bodyPr/>
        <a:lstStyle/>
        <a:p>
          <a:r>
            <a:rPr lang="en-US"/>
            <a:t>Local, State and Federal Government Affairs</a:t>
          </a:r>
        </a:p>
      </dgm:t>
    </dgm:pt>
    <dgm:pt modelId="{F7CDC3A1-B5B5-4E8E-95ED-BD201BCE714E}" type="parTrans" cxnId="{9E0209E4-E94B-4FD1-93E1-C8C8C473A80F}">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100E0687-346A-4AA0-ACE5-B85B79DE7AEF}" type="sibTrans" cxnId="{9E0209E4-E94B-4FD1-93E1-C8C8C473A80F}">
      <dgm:prSet/>
      <dgm:spPr/>
      <dgm:t>
        <a:bodyPr/>
        <a:lstStyle/>
        <a:p>
          <a:endParaRPr lang="en-US"/>
        </a:p>
      </dgm:t>
    </dgm:pt>
    <dgm:pt modelId="{22101FFD-FEF9-43C2-A89D-22217E7FEB3C}">
      <dgm:prSet>
        <dgm:style>
          <a:lnRef idx="2">
            <a:schemeClr val="dk1"/>
          </a:lnRef>
          <a:fillRef idx="1">
            <a:schemeClr val="lt1"/>
          </a:fillRef>
          <a:effectRef idx="0">
            <a:schemeClr val="dk1"/>
          </a:effectRef>
          <a:fontRef idx="minor">
            <a:schemeClr val="dk1"/>
          </a:fontRef>
        </dgm:style>
      </dgm:prSet>
      <dgm:spPr/>
      <dgm:t>
        <a:bodyPr/>
        <a:lstStyle/>
        <a:p>
          <a:r>
            <a:rPr lang="en-US"/>
            <a:t>Regulatory Legal</a:t>
          </a:r>
        </a:p>
      </dgm:t>
    </dgm:pt>
    <dgm:pt modelId="{7419A8E7-D172-4EA3-99BD-9DBF98C2476F}" type="parTrans" cxnId="{671AC4A0-C72F-4442-9058-A42827E5B854}">
      <dgm:prSet>
        <dgm:style>
          <a:lnRef idx="1">
            <a:schemeClr val="dk1"/>
          </a:lnRef>
          <a:fillRef idx="0">
            <a:schemeClr val="dk1"/>
          </a:fillRef>
          <a:effectRef idx="0">
            <a:schemeClr val="dk1"/>
          </a:effectRef>
          <a:fontRef idx="minor">
            <a:schemeClr val="tx1"/>
          </a:fontRef>
        </dgm:style>
      </dgm:prSet>
      <dgm:spPr/>
      <dgm:t>
        <a:bodyPr/>
        <a:lstStyle/>
        <a:p>
          <a:endParaRPr lang="en-US"/>
        </a:p>
      </dgm:t>
    </dgm:pt>
    <dgm:pt modelId="{D67B8EEA-2FCD-418A-ADD9-8B1FFBC0904B}" type="sibTrans" cxnId="{671AC4A0-C72F-4442-9058-A42827E5B854}">
      <dgm:prSet/>
      <dgm:spPr/>
      <dgm:t>
        <a:bodyPr/>
        <a:lstStyle/>
        <a:p>
          <a:endParaRPr lang="en-US"/>
        </a:p>
      </dgm:t>
    </dgm:pt>
    <dgm:pt modelId="{B66720C9-D6EA-41F6-8902-6D2BF8410674}" type="pres">
      <dgm:prSet presAssocID="{610A364A-EB9C-451C-A4D2-4A9BED8361CF}" presName="hierChild1" presStyleCnt="0">
        <dgm:presLayoutVars>
          <dgm:orgChart val="1"/>
          <dgm:chPref val="1"/>
          <dgm:dir/>
          <dgm:animOne val="branch"/>
          <dgm:animLvl val="lvl"/>
          <dgm:resizeHandles/>
        </dgm:presLayoutVars>
      </dgm:prSet>
      <dgm:spPr/>
    </dgm:pt>
    <dgm:pt modelId="{8293072B-B33D-4819-B11D-9ECD66ECBD26}" type="pres">
      <dgm:prSet presAssocID="{3698DC7C-1820-4D98-BBCB-64061C9A2B01}" presName="hierRoot1" presStyleCnt="0">
        <dgm:presLayoutVars>
          <dgm:hierBranch val="init"/>
        </dgm:presLayoutVars>
      </dgm:prSet>
      <dgm:spPr/>
    </dgm:pt>
    <dgm:pt modelId="{0A44CE6C-2B40-4AB1-A743-445334C375E3}" type="pres">
      <dgm:prSet presAssocID="{3698DC7C-1820-4D98-BBCB-64061C9A2B01}" presName="rootComposite1" presStyleCnt="0"/>
      <dgm:spPr/>
    </dgm:pt>
    <dgm:pt modelId="{ECCC66E4-2E2D-4F43-B927-2C7E4953CD7A}" type="pres">
      <dgm:prSet presAssocID="{3698DC7C-1820-4D98-BBCB-64061C9A2B01}" presName="rootText1" presStyleLbl="node0" presStyleIdx="0" presStyleCnt="1">
        <dgm:presLayoutVars>
          <dgm:chPref val="3"/>
        </dgm:presLayoutVars>
      </dgm:prSet>
      <dgm:spPr/>
    </dgm:pt>
    <dgm:pt modelId="{3A185949-597E-40C0-95EF-2F125310A39C}" type="pres">
      <dgm:prSet presAssocID="{3698DC7C-1820-4D98-BBCB-64061C9A2B01}" presName="rootConnector1" presStyleLbl="node1" presStyleIdx="0" presStyleCnt="0"/>
      <dgm:spPr/>
    </dgm:pt>
    <dgm:pt modelId="{08C243D2-0047-4ADA-80C0-E2F411065F16}" type="pres">
      <dgm:prSet presAssocID="{3698DC7C-1820-4D98-BBCB-64061C9A2B01}" presName="hierChild2" presStyleCnt="0"/>
      <dgm:spPr/>
    </dgm:pt>
    <dgm:pt modelId="{BB8A99BE-755F-4DEE-8362-4687E4CB2314}" type="pres">
      <dgm:prSet presAssocID="{16C9DF2E-DBB5-46B9-B240-72B12996826F}" presName="Name37" presStyleLbl="parChTrans1D2" presStyleIdx="0" presStyleCnt="2"/>
      <dgm:spPr/>
    </dgm:pt>
    <dgm:pt modelId="{60CC80DD-F06C-4FA5-A1E7-E05CD719E3E6}" type="pres">
      <dgm:prSet presAssocID="{DD44652B-2CF5-4D32-B639-87574A16CC33}" presName="hierRoot2" presStyleCnt="0">
        <dgm:presLayoutVars>
          <dgm:hierBranch val="init"/>
        </dgm:presLayoutVars>
      </dgm:prSet>
      <dgm:spPr/>
    </dgm:pt>
    <dgm:pt modelId="{7B5044AA-3D4B-4696-BB43-9B9129B9507B}" type="pres">
      <dgm:prSet presAssocID="{DD44652B-2CF5-4D32-B639-87574A16CC33}" presName="rootComposite" presStyleCnt="0"/>
      <dgm:spPr/>
    </dgm:pt>
    <dgm:pt modelId="{AF515242-2BB1-4AE6-A624-E44DBE036224}" type="pres">
      <dgm:prSet presAssocID="{DD44652B-2CF5-4D32-B639-87574A16CC33}" presName="rootText" presStyleLbl="node2" presStyleIdx="0" presStyleCnt="2">
        <dgm:presLayoutVars>
          <dgm:chPref val="3"/>
        </dgm:presLayoutVars>
      </dgm:prSet>
      <dgm:spPr/>
    </dgm:pt>
    <dgm:pt modelId="{3AF97985-0ECE-4BA6-AB7B-F8213199554A}" type="pres">
      <dgm:prSet presAssocID="{DD44652B-2CF5-4D32-B639-87574A16CC33}" presName="rootConnector" presStyleLbl="node2" presStyleIdx="0" presStyleCnt="2"/>
      <dgm:spPr/>
    </dgm:pt>
    <dgm:pt modelId="{F695278B-7D7B-4E53-BAA5-E794ADD10647}" type="pres">
      <dgm:prSet presAssocID="{DD44652B-2CF5-4D32-B639-87574A16CC33}" presName="hierChild4" presStyleCnt="0"/>
      <dgm:spPr/>
    </dgm:pt>
    <dgm:pt modelId="{853F9544-2FBD-4A4C-99D6-1152731169BC}" type="pres">
      <dgm:prSet presAssocID="{63F345B5-3BD6-4A28-B16E-35914E3C408E}" presName="Name37" presStyleLbl="parChTrans1D3" presStyleIdx="0" presStyleCnt="1"/>
      <dgm:spPr/>
    </dgm:pt>
    <dgm:pt modelId="{C3F1E6B7-BD59-47C6-8F46-9F31510DB752}" type="pres">
      <dgm:prSet presAssocID="{04D29836-6C6C-461D-9BB7-AC4D7E931726}" presName="hierRoot2" presStyleCnt="0">
        <dgm:presLayoutVars>
          <dgm:hierBranch val="init"/>
        </dgm:presLayoutVars>
      </dgm:prSet>
      <dgm:spPr/>
    </dgm:pt>
    <dgm:pt modelId="{F254A847-2C5D-4C69-95F6-711EC5DD71D8}" type="pres">
      <dgm:prSet presAssocID="{04D29836-6C6C-461D-9BB7-AC4D7E931726}" presName="rootComposite" presStyleCnt="0"/>
      <dgm:spPr/>
    </dgm:pt>
    <dgm:pt modelId="{749DA9ED-3988-443A-8CCA-41880B0189B8}" type="pres">
      <dgm:prSet presAssocID="{04D29836-6C6C-461D-9BB7-AC4D7E931726}" presName="rootText" presStyleLbl="node3" presStyleIdx="0" presStyleCnt="1">
        <dgm:presLayoutVars>
          <dgm:chPref val="3"/>
        </dgm:presLayoutVars>
      </dgm:prSet>
      <dgm:spPr/>
    </dgm:pt>
    <dgm:pt modelId="{06ADB631-CA97-42DF-A133-17A89762B939}" type="pres">
      <dgm:prSet presAssocID="{04D29836-6C6C-461D-9BB7-AC4D7E931726}" presName="rootConnector" presStyleLbl="node3" presStyleIdx="0" presStyleCnt="1"/>
      <dgm:spPr/>
    </dgm:pt>
    <dgm:pt modelId="{C8300CAB-C7EA-4318-9C81-B52560C5FFAF}" type="pres">
      <dgm:prSet presAssocID="{04D29836-6C6C-461D-9BB7-AC4D7E931726}" presName="hierChild4" presStyleCnt="0"/>
      <dgm:spPr/>
    </dgm:pt>
    <dgm:pt modelId="{C960DA24-8465-4B15-A270-8CA220124EBC}" type="pres">
      <dgm:prSet presAssocID="{D103F717-3D8E-4F8C-B81E-10AE128695D7}" presName="Name37" presStyleLbl="parChTrans1D4" presStyleIdx="0" presStyleCnt="5"/>
      <dgm:spPr/>
    </dgm:pt>
    <dgm:pt modelId="{FAD5EFF2-60A3-4229-9143-BB431AEE25A1}" type="pres">
      <dgm:prSet presAssocID="{47DD6F8C-72CA-457F-A473-DCF25EFFAE0D}" presName="hierRoot2" presStyleCnt="0">
        <dgm:presLayoutVars>
          <dgm:hierBranch val="init"/>
        </dgm:presLayoutVars>
      </dgm:prSet>
      <dgm:spPr/>
    </dgm:pt>
    <dgm:pt modelId="{D4FC8D7E-C729-4C2D-888A-B2E9CC05A4D5}" type="pres">
      <dgm:prSet presAssocID="{47DD6F8C-72CA-457F-A473-DCF25EFFAE0D}" presName="rootComposite" presStyleCnt="0"/>
      <dgm:spPr/>
    </dgm:pt>
    <dgm:pt modelId="{E0B53851-5152-4F48-A6B3-4DC978C8BB4D}" type="pres">
      <dgm:prSet presAssocID="{47DD6F8C-72CA-457F-A473-DCF25EFFAE0D}" presName="rootText" presStyleLbl="node4" presStyleIdx="0" presStyleCnt="5">
        <dgm:presLayoutVars>
          <dgm:chPref val="3"/>
        </dgm:presLayoutVars>
      </dgm:prSet>
      <dgm:spPr/>
    </dgm:pt>
    <dgm:pt modelId="{09E759F4-8044-4751-9500-5E1DD7A355D9}" type="pres">
      <dgm:prSet presAssocID="{47DD6F8C-72CA-457F-A473-DCF25EFFAE0D}" presName="rootConnector" presStyleLbl="node4" presStyleIdx="0" presStyleCnt="5"/>
      <dgm:spPr/>
    </dgm:pt>
    <dgm:pt modelId="{252FEDE5-7D41-4CF1-B919-05D53A22D7D2}" type="pres">
      <dgm:prSet presAssocID="{47DD6F8C-72CA-457F-A473-DCF25EFFAE0D}" presName="hierChild4" presStyleCnt="0"/>
      <dgm:spPr/>
    </dgm:pt>
    <dgm:pt modelId="{3B420E05-30F8-489A-A395-F2DEC278AC19}" type="pres">
      <dgm:prSet presAssocID="{47DD6F8C-72CA-457F-A473-DCF25EFFAE0D}" presName="hierChild5" presStyleCnt="0"/>
      <dgm:spPr/>
    </dgm:pt>
    <dgm:pt modelId="{849A311E-43D2-484B-853F-1A9CB3680F8F}" type="pres">
      <dgm:prSet presAssocID="{D3E1F7BD-3BAE-4FB7-808A-2995D41C8D41}" presName="Name37" presStyleLbl="parChTrans1D4" presStyleIdx="1" presStyleCnt="5"/>
      <dgm:spPr/>
    </dgm:pt>
    <dgm:pt modelId="{7093C823-8E49-4FE5-B578-911A4AAA4CDA}" type="pres">
      <dgm:prSet presAssocID="{A14FEA21-5DBD-4089-8C41-0B9E3608AD38}" presName="hierRoot2" presStyleCnt="0">
        <dgm:presLayoutVars>
          <dgm:hierBranch val="init"/>
        </dgm:presLayoutVars>
      </dgm:prSet>
      <dgm:spPr/>
    </dgm:pt>
    <dgm:pt modelId="{F5EFAFF5-2FA0-4730-8E1D-89C5E75269C1}" type="pres">
      <dgm:prSet presAssocID="{A14FEA21-5DBD-4089-8C41-0B9E3608AD38}" presName="rootComposite" presStyleCnt="0"/>
      <dgm:spPr/>
    </dgm:pt>
    <dgm:pt modelId="{586A6A3B-16D1-4DFF-9B64-1169D6345094}" type="pres">
      <dgm:prSet presAssocID="{A14FEA21-5DBD-4089-8C41-0B9E3608AD38}" presName="rootText" presStyleLbl="node4" presStyleIdx="1" presStyleCnt="5">
        <dgm:presLayoutVars>
          <dgm:chPref val="3"/>
        </dgm:presLayoutVars>
      </dgm:prSet>
      <dgm:spPr/>
    </dgm:pt>
    <dgm:pt modelId="{ED242C87-ED3C-4DB5-BCC5-EDC7B8AF26DA}" type="pres">
      <dgm:prSet presAssocID="{A14FEA21-5DBD-4089-8C41-0B9E3608AD38}" presName="rootConnector" presStyleLbl="node4" presStyleIdx="1" presStyleCnt="5"/>
      <dgm:spPr/>
    </dgm:pt>
    <dgm:pt modelId="{4864D5D0-2A13-4233-8B3B-6EFD3E470C7D}" type="pres">
      <dgm:prSet presAssocID="{A14FEA21-5DBD-4089-8C41-0B9E3608AD38}" presName="hierChild4" presStyleCnt="0"/>
      <dgm:spPr/>
    </dgm:pt>
    <dgm:pt modelId="{DF7DB7A6-05B8-41F7-8466-A2794072F6A9}" type="pres">
      <dgm:prSet presAssocID="{A14FEA21-5DBD-4089-8C41-0B9E3608AD38}" presName="hierChild5" presStyleCnt="0"/>
      <dgm:spPr/>
    </dgm:pt>
    <dgm:pt modelId="{D0FA3E89-5FEC-41FF-B7D9-FA0541BF32E7}" type="pres">
      <dgm:prSet presAssocID="{1793A41F-1812-4E5D-9C52-4F74EF7FB18A}" presName="Name37" presStyleLbl="parChTrans1D4" presStyleIdx="2" presStyleCnt="5"/>
      <dgm:spPr/>
    </dgm:pt>
    <dgm:pt modelId="{0B744495-89B1-4921-9CD6-AC36FEC91232}" type="pres">
      <dgm:prSet presAssocID="{56CB1011-347C-49DA-B225-C86067C89E88}" presName="hierRoot2" presStyleCnt="0">
        <dgm:presLayoutVars>
          <dgm:hierBranch val="init"/>
        </dgm:presLayoutVars>
      </dgm:prSet>
      <dgm:spPr/>
    </dgm:pt>
    <dgm:pt modelId="{E8BD145C-445C-4E31-A25F-1FB4B50B0925}" type="pres">
      <dgm:prSet presAssocID="{56CB1011-347C-49DA-B225-C86067C89E88}" presName="rootComposite" presStyleCnt="0"/>
      <dgm:spPr/>
    </dgm:pt>
    <dgm:pt modelId="{0E164A58-BC4B-421D-80AA-D00E71C259BE}" type="pres">
      <dgm:prSet presAssocID="{56CB1011-347C-49DA-B225-C86067C89E88}" presName="rootText" presStyleLbl="node4" presStyleIdx="2" presStyleCnt="5">
        <dgm:presLayoutVars>
          <dgm:chPref val="3"/>
        </dgm:presLayoutVars>
      </dgm:prSet>
      <dgm:spPr/>
    </dgm:pt>
    <dgm:pt modelId="{7691D6B7-0B2F-4193-8B98-FA25EEB89AD3}" type="pres">
      <dgm:prSet presAssocID="{56CB1011-347C-49DA-B225-C86067C89E88}" presName="rootConnector" presStyleLbl="node4" presStyleIdx="2" presStyleCnt="5"/>
      <dgm:spPr/>
    </dgm:pt>
    <dgm:pt modelId="{1171CDD7-D44B-4C54-9FB9-6DC137DBCFA9}" type="pres">
      <dgm:prSet presAssocID="{56CB1011-347C-49DA-B225-C86067C89E88}" presName="hierChild4" presStyleCnt="0"/>
      <dgm:spPr/>
    </dgm:pt>
    <dgm:pt modelId="{B889C57C-98F6-40B9-A8F3-F5DD9054F05C}" type="pres">
      <dgm:prSet presAssocID="{56CB1011-347C-49DA-B225-C86067C89E88}" presName="hierChild5" presStyleCnt="0"/>
      <dgm:spPr/>
    </dgm:pt>
    <dgm:pt modelId="{EA3989DE-334E-4523-87D8-3C89BAC076E8}" type="pres">
      <dgm:prSet presAssocID="{F7CDC3A1-B5B5-4E8E-95ED-BD201BCE714E}" presName="Name37" presStyleLbl="parChTrans1D4" presStyleIdx="3" presStyleCnt="5"/>
      <dgm:spPr/>
    </dgm:pt>
    <dgm:pt modelId="{6A030B26-66C8-4B5C-BD83-46D435852C14}" type="pres">
      <dgm:prSet presAssocID="{F1C451B3-BF8A-433D-8FE8-F580EE9000A6}" presName="hierRoot2" presStyleCnt="0">
        <dgm:presLayoutVars>
          <dgm:hierBranch val="init"/>
        </dgm:presLayoutVars>
      </dgm:prSet>
      <dgm:spPr/>
    </dgm:pt>
    <dgm:pt modelId="{19909BD9-C938-4CF9-B687-5C11A4464763}" type="pres">
      <dgm:prSet presAssocID="{F1C451B3-BF8A-433D-8FE8-F580EE9000A6}" presName="rootComposite" presStyleCnt="0"/>
      <dgm:spPr/>
    </dgm:pt>
    <dgm:pt modelId="{0DB0AE41-7ED0-4576-8D33-897192DB1F16}" type="pres">
      <dgm:prSet presAssocID="{F1C451B3-BF8A-433D-8FE8-F580EE9000A6}" presName="rootText" presStyleLbl="node4" presStyleIdx="3" presStyleCnt="5">
        <dgm:presLayoutVars>
          <dgm:chPref val="3"/>
        </dgm:presLayoutVars>
      </dgm:prSet>
      <dgm:spPr/>
    </dgm:pt>
    <dgm:pt modelId="{27891ECA-BB3A-4898-A1B8-BB6993AB1640}" type="pres">
      <dgm:prSet presAssocID="{F1C451B3-BF8A-433D-8FE8-F580EE9000A6}" presName="rootConnector" presStyleLbl="node4" presStyleIdx="3" presStyleCnt="5"/>
      <dgm:spPr/>
    </dgm:pt>
    <dgm:pt modelId="{18F19BC0-D5BF-48F7-81C7-2817256309BE}" type="pres">
      <dgm:prSet presAssocID="{F1C451B3-BF8A-433D-8FE8-F580EE9000A6}" presName="hierChild4" presStyleCnt="0"/>
      <dgm:spPr/>
    </dgm:pt>
    <dgm:pt modelId="{33C866A0-BF91-46E2-91A3-A39343ED3A6B}" type="pres">
      <dgm:prSet presAssocID="{F1C451B3-BF8A-433D-8FE8-F580EE9000A6}" presName="hierChild5" presStyleCnt="0"/>
      <dgm:spPr/>
    </dgm:pt>
    <dgm:pt modelId="{ECAF19D9-0A90-4F99-8474-A022F33ED8E4}" type="pres">
      <dgm:prSet presAssocID="{7419A8E7-D172-4EA3-99BD-9DBF98C2476F}" presName="Name37" presStyleLbl="parChTrans1D4" presStyleIdx="4" presStyleCnt="5"/>
      <dgm:spPr/>
    </dgm:pt>
    <dgm:pt modelId="{2B0AB606-DF3F-45A2-9671-96CB8FCA98A0}" type="pres">
      <dgm:prSet presAssocID="{22101FFD-FEF9-43C2-A89D-22217E7FEB3C}" presName="hierRoot2" presStyleCnt="0">
        <dgm:presLayoutVars>
          <dgm:hierBranch val="init"/>
        </dgm:presLayoutVars>
      </dgm:prSet>
      <dgm:spPr/>
    </dgm:pt>
    <dgm:pt modelId="{B0F6D598-9CFF-41F4-8FEA-3703ED9DF561}" type="pres">
      <dgm:prSet presAssocID="{22101FFD-FEF9-43C2-A89D-22217E7FEB3C}" presName="rootComposite" presStyleCnt="0"/>
      <dgm:spPr/>
    </dgm:pt>
    <dgm:pt modelId="{CECB82B4-3865-477B-AFAA-6C3A2C969221}" type="pres">
      <dgm:prSet presAssocID="{22101FFD-FEF9-43C2-A89D-22217E7FEB3C}" presName="rootText" presStyleLbl="node4" presStyleIdx="4" presStyleCnt="5">
        <dgm:presLayoutVars>
          <dgm:chPref val="3"/>
        </dgm:presLayoutVars>
      </dgm:prSet>
      <dgm:spPr/>
    </dgm:pt>
    <dgm:pt modelId="{131E791A-5B34-408C-9779-71758E1003A6}" type="pres">
      <dgm:prSet presAssocID="{22101FFD-FEF9-43C2-A89D-22217E7FEB3C}" presName="rootConnector" presStyleLbl="node4" presStyleIdx="4" presStyleCnt="5"/>
      <dgm:spPr/>
    </dgm:pt>
    <dgm:pt modelId="{2337300B-292A-4E44-9F32-EF1994FF1091}" type="pres">
      <dgm:prSet presAssocID="{22101FFD-FEF9-43C2-A89D-22217E7FEB3C}" presName="hierChild4" presStyleCnt="0"/>
      <dgm:spPr/>
    </dgm:pt>
    <dgm:pt modelId="{EA22D6E7-4DC2-46EA-BE06-A3408B9788F3}" type="pres">
      <dgm:prSet presAssocID="{22101FFD-FEF9-43C2-A89D-22217E7FEB3C}" presName="hierChild5" presStyleCnt="0"/>
      <dgm:spPr/>
    </dgm:pt>
    <dgm:pt modelId="{8447A275-8A95-44C8-8BC1-362B497CA7D7}" type="pres">
      <dgm:prSet presAssocID="{04D29836-6C6C-461D-9BB7-AC4D7E931726}" presName="hierChild5" presStyleCnt="0"/>
      <dgm:spPr/>
    </dgm:pt>
    <dgm:pt modelId="{77A56C10-E954-443D-9FF3-C1E15BFEACA5}" type="pres">
      <dgm:prSet presAssocID="{DD44652B-2CF5-4D32-B639-87574A16CC33}" presName="hierChild5" presStyleCnt="0"/>
      <dgm:spPr/>
    </dgm:pt>
    <dgm:pt modelId="{5FE7B2F8-3BD8-46A4-B666-C0DCCFFF3005}" type="pres">
      <dgm:prSet presAssocID="{0AC87036-103A-4187-8EE0-C1FEE76C86EF}" presName="Name37" presStyleLbl="parChTrans1D2" presStyleIdx="1" presStyleCnt="2"/>
      <dgm:spPr/>
    </dgm:pt>
    <dgm:pt modelId="{9F5CF869-3F69-4D4A-AE5C-567FF57B37C0}" type="pres">
      <dgm:prSet presAssocID="{5F5A87B2-76CF-4D0E-9F54-F0AD9852835A}" presName="hierRoot2" presStyleCnt="0">
        <dgm:presLayoutVars>
          <dgm:hierBranch val="init"/>
        </dgm:presLayoutVars>
      </dgm:prSet>
      <dgm:spPr/>
    </dgm:pt>
    <dgm:pt modelId="{5C64C99A-9E87-4B08-93A6-0F6F56B58992}" type="pres">
      <dgm:prSet presAssocID="{5F5A87B2-76CF-4D0E-9F54-F0AD9852835A}" presName="rootComposite" presStyleCnt="0"/>
      <dgm:spPr/>
    </dgm:pt>
    <dgm:pt modelId="{1F4CBA45-75FC-4500-88D4-C013F52C9EB9}" type="pres">
      <dgm:prSet presAssocID="{5F5A87B2-76CF-4D0E-9F54-F0AD9852835A}" presName="rootText" presStyleLbl="node2" presStyleIdx="1" presStyleCnt="2">
        <dgm:presLayoutVars>
          <dgm:chPref val="3"/>
        </dgm:presLayoutVars>
      </dgm:prSet>
      <dgm:spPr/>
    </dgm:pt>
    <dgm:pt modelId="{C4C2C2DE-C8F7-4179-BFA8-88ABB5B6AF43}" type="pres">
      <dgm:prSet presAssocID="{5F5A87B2-76CF-4D0E-9F54-F0AD9852835A}" presName="rootConnector" presStyleLbl="node2" presStyleIdx="1" presStyleCnt="2"/>
      <dgm:spPr/>
    </dgm:pt>
    <dgm:pt modelId="{CE8B70A0-FE76-47C8-B1AA-EB06B72C77B4}" type="pres">
      <dgm:prSet presAssocID="{5F5A87B2-76CF-4D0E-9F54-F0AD9852835A}" presName="hierChild4" presStyleCnt="0"/>
      <dgm:spPr/>
    </dgm:pt>
    <dgm:pt modelId="{9EE04C43-9ABA-4702-9D85-93C461ABFB7A}" type="pres">
      <dgm:prSet presAssocID="{5F5A87B2-76CF-4D0E-9F54-F0AD9852835A}" presName="hierChild5" presStyleCnt="0"/>
      <dgm:spPr/>
    </dgm:pt>
    <dgm:pt modelId="{6D020C5A-C221-485D-94CF-84609923CB87}" type="pres">
      <dgm:prSet presAssocID="{3698DC7C-1820-4D98-BBCB-64061C9A2B01}" presName="hierChild3" presStyleCnt="0"/>
      <dgm:spPr/>
    </dgm:pt>
  </dgm:ptLst>
  <dgm:cxnLst>
    <dgm:cxn modelId="{30F71001-482E-4292-81C5-5CB260DD28CC}" type="presOf" srcId="{04D29836-6C6C-461D-9BB7-AC4D7E931726}" destId="{06ADB631-CA97-42DF-A133-17A89762B939}" srcOrd="1" destOrd="0" presId="urn:microsoft.com/office/officeart/2005/8/layout/orgChart1"/>
    <dgm:cxn modelId="{93CD4F05-FD7B-4339-AD91-4225975F81F4}" type="presOf" srcId="{47DD6F8C-72CA-457F-A473-DCF25EFFAE0D}" destId="{09E759F4-8044-4751-9500-5E1DD7A355D9}" srcOrd="1" destOrd="0" presId="urn:microsoft.com/office/officeart/2005/8/layout/orgChart1"/>
    <dgm:cxn modelId="{4A2CD806-7962-47F3-A952-C49AF197CF76}" type="presOf" srcId="{DD44652B-2CF5-4D32-B639-87574A16CC33}" destId="{AF515242-2BB1-4AE6-A624-E44DBE036224}" srcOrd="0" destOrd="0" presId="urn:microsoft.com/office/officeart/2005/8/layout/orgChart1"/>
    <dgm:cxn modelId="{D0039F0F-B035-4D84-9AB3-2D558DC307CA}" type="presOf" srcId="{0AC87036-103A-4187-8EE0-C1FEE76C86EF}" destId="{5FE7B2F8-3BD8-46A4-B666-C0DCCFFF3005}" srcOrd="0" destOrd="0" presId="urn:microsoft.com/office/officeart/2005/8/layout/orgChart1"/>
    <dgm:cxn modelId="{F23ED810-F9FE-45FD-B509-A4E8363496B8}" type="presOf" srcId="{22101FFD-FEF9-43C2-A89D-22217E7FEB3C}" destId="{CECB82B4-3865-477B-AFAA-6C3A2C969221}" srcOrd="0" destOrd="0" presId="urn:microsoft.com/office/officeart/2005/8/layout/orgChart1"/>
    <dgm:cxn modelId="{DEDD4921-9DC9-4281-B4D0-9AF00F84BD8B}" type="presOf" srcId="{3698DC7C-1820-4D98-BBCB-64061C9A2B01}" destId="{ECCC66E4-2E2D-4F43-B927-2C7E4953CD7A}" srcOrd="0" destOrd="0" presId="urn:microsoft.com/office/officeart/2005/8/layout/orgChart1"/>
    <dgm:cxn modelId="{5F912E23-BAA7-431F-B3EA-009BD1EC543C}" srcId="{04D29836-6C6C-461D-9BB7-AC4D7E931726}" destId="{56CB1011-347C-49DA-B225-C86067C89E88}" srcOrd="2" destOrd="0" parTransId="{1793A41F-1812-4E5D-9C52-4F74EF7FB18A}" sibTransId="{7B883C2D-C805-4FA3-BA39-01BF6103BEF1}"/>
    <dgm:cxn modelId="{EDDFC825-DB9E-4663-BF82-4E02BC0B65B3}" type="presOf" srcId="{5F5A87B2-76CF-4D0E-9F54-F0AD9852835A}" destId="{1F4CBA45-75FC-4500-88D4-C013F52C9EB9}" srcOrd="0" destOrd="0" presId="urn:microsoft.com/office/officeart/2005/8/layout/orgChart1"/>
    <dgm:cxn modelId="{3B02FE2E-AA35-449B-B192-19F704D47168}" srcId="{3698DC7C-1820-4D98-BBCB-64061C9A2B01}" destId="{5F5A87B2-76CF-4D0E-9F54-F0AD9852835A}" srcOrd="1" destOrd="0" parTransId="{0AC87036-103A-4187-8EE0-C1FEE76C86EF}" sibTransId="{3ABBF2D0-4A2C-46EE-8928-8A1C790B2A8A}"/>
    <dgm:cxn modelId="{A7803131-CE35-4511-A2D2-A60616C0A9EB}" type="presOf" srcId="{22101FFD-FEF9-43C2-A89D-22217E7FEB3C}" destId="{131E791A-5B34-408C-9779-71758E1003A6}" srcOrd="1" destOrd="0" presId="urn:microsoft.com/office/officeart/2005/8/layout/orgChart1"/>
    <dgm:cxn modelId="{E588CB31-2945-44FD-969C-CF49561A1464}" srcId="{DD44652B-2CF5-4D32-B639-87574A16CC33}" destId="{04D29836-6C6C-461D-9BB7-AC4D7E931726}" srcOrd="0" destOrd="0" parTransId="{63F345B5-3BD6-4A28-B16E-35914E3C408E}" sibTransId="{C5F67FE8-D03E-4191-B887-F4004E654A57}"/>
    <dgm:cxn modelId="{4191E464-8AB6-4E21-8568-E9BD1382F736}" type="presOf" srcId="{1793A41F-1812-4E5D-9C52-4F74EF7FB18A}" destId="{D0FA3E89-5FEC-41FF-B7D9-FA0541BF32E7}" srcOrd="0" destOrd="0" presId="urn:microsoft.com/office/officeart/2005/8/layout/orgChart1"/>
    <dgm:cxn modelId="{3D153665-0BCF-4E1A-BA3B-C623A5BC52E6}" type="presOf" srcId="{7419A8E7-D172-4EA3-99BD-9DBF98C2476F}" destId="{ECAF19D9-0A90-4F99-8474-A022F33ED8E4}" srcOrd="0" destOrd="0" presId="urn:microsoft.com/office/officeart/2005/8/layout/orgChart1"/>
    <dgm:cxn modelId="{3901AD65-7BBD-4232-ACFF-5C906BA8B26E}" type="presOf" srcId="{F1C451B3-BF8A-433D-8FE8-F580EE9000A6}" destId="{27891ECA-BB3A-4898-A1B8-BB6993AB1640}" srcOrd="1" destOrd="0" presId="urn:microsoft.com/office/officeart/2005/8/layout/orgChart1"/>
    <dgm:cxn modelId="{E5AC0767-117C-4576-A0BA-D111FF691A28}" type="presOf" srcId="{47DD6F8C-72CA-457F-A473-DCF25EFFAE0D}" destId="{E0B53851-5152-4F48-A6B3-4DC978C8BB4D}" srcOrd="0" destOrd="0" presId="urn:microsoft.com/office/officeart/2005/8/layout/orgChart1"/>
    <dgm:cxn modelId="{0710134E-B665-493F-B8E7-209C48D4D6D9}" type="presOf" srcId="{A14FEA21-5DBD-4089-8C41-0B9E3608AD38}" destId="{586A6A3B-16D1-4DFF-9B64-1169D6345094}" srcOrd="0" destOrd="0" presId="urn:microsoft.com/office/officeart/2005/8/layout/orgChart1"/>
    <dgm:cxn modelId="{A117036F-55CD-47F7-85D0-47333A8200EE}" type="presOf" srcId="{16C9DF2E-DBB5-46B9-B240-72B12996826F}" destId="{BB8A99BE-755F-4DEE-8362-4687E4CB2314}" srcOrd="0" destOrd="0" presId="urn:microsoft.com/office/officeart/2005/8/layout/orgChart1"/>
    <dgm:cxn modelId="{F72D4871-CF84-49EC-BF8E-3BC2475FF3EC}" srcId="{610A364A-EB9C-451C-A4D2-4A9BED8361CF}" destId="{3698DC7C-1820-4D98-BBCB-64061C9A2B01}" srcOrd="0" destOrd="0" parTransId="{5D7A4C0D-6A92-44AF-8EAA-44770E42F890}" sibTransId="{5FEA9C30-BF68-409E-A4C7-F92240BE4823}"/>
    <dgm:cxn modelId="{8C760A74-175E-47ED-9DBA-C6D62C90FB8C}" type="presOf" srcId="{DD44652B-2CF5-4D32-B639-87574A16CC33}" destId="{3AF97985-0ECE-4BA6-AB7B-F8213199554A}" srcOrd="1" destOrd="0" presId="urn:microsoft.com/office/officeart/2005/8/layout/orgChart1"/>
    <dgm:cxn modelId="{81678855-078D-4072-9BCE-688C1E021933}" type="presOf" srcId="{D3E1F7BD-3BAE-4FB7-808A-2995D41C8D41}" destId="{849A311E-43D2-484B-853F-1A9CB3680F8F}" srcOrd="0" destOrd="0" presId="urn:microsoft.com/office/officeart/2005/8/layout/orgChart1"/>
    <dgm:cxn modelId="{5603FF7E-BB99-464E-A4DE-9F35DBD17724}" type="presOf" srcId="{610A364A-EB9C-451C-A4D2-4A9BED8361CF}" destId="{B66720C9-D6EA-41F6-8902-6D2BF8410674}" srcOrd="0" destOrd="0" presId="urn:microsoft.com/office/officeart/2005/8/layout/orgChart1"/>
    <dgm:cxn modelId="{E7DD6281-F3EE-4C64-A17A-BD192E02FA1E}" type="presOf" srcId="{56CB1011-347C-49DA-B225-C86067C89E88}" destId="{7691D6B7-0B2F-4193-8B98-FA25EEB89AD3}" srcOrd="1" destOrd="0" presId="urn:microsoft.com/office/officeart/2005/8/layout/orgChart1"/>
    <dgm:cxn modelId="{29EB0282-20C2-4AEE-B010-09B77D68D272}" type="presOf" srcId="{D103F717-3D8E-4F8C-B81E-10AE128695D7}" destId="{C960DA24-8465-4B15-A270-8CA220124EBC}" srcOrd="0" destOrd="0" presId="urn:microsoft.com/office/officeart/2005/8/layout/orgChart1"/>
    <dgm:cxn modelId="{9FB2588F-665A-4840-9F6A-78E39511C1C1}" type="presOf" srcId="{F7CDC3A1-B5B5-4E8E-95ED-BD201BCE714E}" destId="{EA3989DE-334E-4523-87D8-3C89BAC076E8}" srcOrd="0" destOrd="0" presId="urn:microsoft.com/office/officeart/2005/8/layout/orgChart1"/>
    <dgm:cxn modelId="{A2F82E92-29E1-4B91-8412-B8BE11DF6083}" srcId="{04D29836-6C6C-461D-9BB7-AC4D7E931726}" destId="{47DD6F8C-72CA-457F-A473-DCF25EFFAE0D}" srcOrd="0" destOrd="0" parTransId="{D103F717-3D8E-4F8C-B81E-10AE128695D7}" sibTransId="{18CF7DFC-02CF-460F-9112-F60BE42B7C1A}"/>
    <dgm:cxn modelId="{24414396-DA31-4E8B-8C60-4C4ED73AF140}" srcId="{3698DC7C-1820-4D98-BBCB-64061C9A2B01}" destId="{DD44652B-2CF5-4D32-B639-87574A16CC33}" srcOrd="0" destOrd="0" parTransId="{16C9DF2E-DBB5-46B9-B240-72B12996826F}" sibTransId="{CDEAB4D0-BD82-4D04-813F-6CD174A3A32E}"/>
    <dgm:cxn modelId="{671AC4A0-C72F-4442-9058-A42827E5B854}" srcId="{04D29836-6C6C-461D-9BB7-AC4D7E931726}" destId="{22101FFD-FEF9-43C2-A89D-22217E7FEB3C}" srcOrd="4" destOrd="0" parTransId="{7419A8E7-D172-4EA3-99BD-9DBF98C2476F}" sibTransId="{D67B8EEA-2FCD-418A-ADD9-8B1FFBC0904B}"/>
    <dgm:cxn modelId="{713392A4-344A-4595-B588-F5FF2B3B7E1E}" type="presOf" srcId="{04D29836-6C6C-461D-9BB7-AC4D7E931726}" destId="{749DA9ED-3988-443A-8CCA-41880B0189B8}" srcOrd="0" destOrd="0" presId="urn:microsoft.com/office/officeart/2005/8/layout/orgChart1"/>
    <dgm:cxn modelId="{75956CAF-A596-4243-BFB4-344A6A0DF019}" type="presOf" srcId="{63F345B5-3BD6-4A28-B16E-35914E3C408E}" destId="{853F9544-2FBD-4A4C-99D6-1152731169BC}" srcOrd="0" destOrd="0" presId="urn:microsoft.com/office/officeart/2005/8/layout/orgChart1"/>
    <dgm:cxn modelId="{CC30E8B1-A354-42BE-9C66-9AE7A2E81C68}" type="presOf" srcId="{56CB1011-347C-49DA-B225-C86067C89E88}" destId="{0E164A58-BC4B-421D-80AA-D00E71C259BE}" srcOrd="0" destOrd="0" presId="urn:microsoft.com/office/officeart/2005/8/layout/orgChart1"/>
    <dgm:cxn modelId="{34D128C4-1734-4AEC-BEC0-EC631A45D5BE}" type="presOf" srcId="{F1C451B3-BF8A-433D-8FE8-F580EE9000A6}" destId="{0DB0AE41-7ED0-4576-8D33-897192DB1F16}" srcOrd="0" destOrd="0" presId="urn:microsoft.com/office/officeart/2005/8/layout/orgChart1"/>
    <dgm:cxn modelId="{CA8E3EC5-7A0B-4F4D-9990-7E33828DF1DA}" type="presOf" srcId="{5F5A87B2-76CF-4D0E-9F54-F0AD9852835A}" destId="{C4C2C2DE-C8F7-4179-BFA8-88ABB5B6AF43}" srcOrd="1" destOrd="0" presId="urn:microsoft.com/office/officeart/2005/8/layout/orgChart1"/>
    <dgm:cxn modelId="{B2EA3FCC-7450-474D-A4F4-6149E9ED952B}" type="presOf" srcId="{3698DC7C-1820-4D98-BBCB-64061C9A2B01}" destId="{3A185949-597E-40C0-95EF-2F125310A39C}" srcOrd="1" destOrd="0" presId="urn:microsoft.com/office/officeart/2005/8/layout/orgChart1"/>
    <dgm:cxn modelId="{9E0209E4-E94B-4FD1-93E1-C8C8C473A80F}" srcId="{04D29836-6C6C-461D-9BB7-AC4D7E931726}" destId="{F1C451B3-BF8A-433D-8FE8-F580EE9000A6}" srcOrd="3" destOrd="0" parTransId="{F7CDC3A1-B5B5-4E8E-95ED-BD201BCE714E}" sibTransId="{100E0687-346A-4AA0-ACE5-B85B79DE7AEF}"/>
    <dgm:cxn modelId="{98DB0AEC-15D0-4DEF-90A8-6EF0BFE4363A}" srcId="{04D29836-6C6C-461D-9BB7-AC4D7E931726}" destId="{A14FEA21-5DBD-4089-8C41-0B9E3608AD38}" srcOrd="1" destOrd="0" parTransId="{D3E1F7BD-3BAE-4FB7-808A-2995D41C8D41}" sibTransId="{D45038E4-797C-4573-8F3C-07D4C5A5C11B}"/>
    <dgm:cxn modelId="{5D3D67F1-9DB2-4ED8-AB6B-94939CFD1FFE}" type="presOf" srcId="{A14FEA21-5DBD-4089-8C41-0B9E3608AD38}" destId="{ED242C87-ED3C-4DB5-BCC5-EDC7B8AF26DA}" srcOrd="1" destOrd="0" presId="urn:microsoft.com/office/officeart/2005/8/layout/orgChart1"/>
    <dgm:cxn modelId="{B8C25C2B-CB1C-475B-BB17-D7257CEA10F0}" type="presParOf" srcId="{B66720C9-D6EA-41F6-8902-6D2BF8410674}" destId="{8293072B-B33D-4819-B11D-9ECD66ECBD26}" srcOrd="0" destOrd="0" presId="urn:microsoft.com/office/officeart/2005/8/layout/orgChart1"/>
    <dgm:cxn modelId="{D1F3D49F-AE6C-4B71-B8EB-A226A62EC1D0}" type="presParOf" srcId="{8293072B-B33D-4819-B11D-9ECD66ECBD26}" destId="{0A44CE6C-2B40-4AB1-A743-445334C375E3}" srcOrd="0" destOrd="0" presId="urn:microsoft.com/office/officeart/2005/8/layout/orgChart1"/>
    <dgm:cxn modelId="{733222CC-5FB9-4D58-9CDC-388B365E9D35}" type="presParOf" srcId="{0A44CE6C-2B40-4AB1-A743-445334C375E3}" destId="{ECCC66E4-2E2D-4F43-B927-2C7E4953CD7A}" srcOrd="0" destOrd="0" presId="urn:microsoft.com/office/officeart/2005/8/layout/orgChart1"/>
    <dgm:cxn modelId="{529FA2D5-E702-4FD6-BE5E-296BE5787A27}" type="presParOf" srcId="{0A44CE6C-2B40-4AB1-A743-445334C375E3}" destId="{3A185949-597E-40C0-95EF-2F125310A39C}" srcOrd="1" destOrd="0" presId="urn:microsoft.com/office/officeart/2005/8/layout/orgChart1"/>
    <dgm:cxn modelId="{B19F7BE3-F220-407F-9FF0-575E44031D23}" type="presParOf" srcId="{8293072B-B33D-4819-B11D-9ECD66ECBD26}" destId="{08C243D2-0047-4ADA-80C0-E2F411065F16}" srcOrd="1" destOrd="0" presId="urn:microsoft.com/office/officeart/2005/8/layout/orgChart1"/>
    <dgm:cxn modelId="{48BF90C9-DFEF-4C4F-BC8D-C627E5C107B7}" type="presParOf" srcId="{08C243D2-0047-4ADA-80C0-E2F411065F16}" destId="{BB8A99BE-755F-4DEE-8362-4687E4CB2314}" srcOrd="0" destOrd="0" presId="urn:microsoft.com/office/officeart/2005/8/layout/orgChart1"/>
    <dgm:cxn modelId="{E38BBA61-0335-4680-985D-A6D6B594A7CF}" type="presParOf" srcId="{08C243D2-0047-4ADA-80C0-E2F411065F16}" destId="{60CC80DD-F06C-4FA5-A1E7-E05CD719E3E6}" srcOrd="1" destOrd="0" presId="urn:microsoft.com/office/officeart/2005/8/layout/orgChart1"/>
    <dgm:cxn modelId="{E59E50F4-25BF-46BE-AC4F-1F0AE7441CAC}" type="presParOf" srcId="{60CC80DD-F06C-4FA5-A1E7-E05CD719E3E6}" destId="{7B5044AA-3D4B-4696-BB43-9B9129B9507B}" srcOrd="0" destOrd="0" presId="urn:microsoft.com/office/officeart/2005/8/layout/orgChart1"/>
    <dgm:cxn modelId="{66771D6A-EF4D-470C-9568-69907D2AC211}" type="presParOf" srcId="{7B5044AA-3D4B-4696-BB43-9B9129B9507B}" destId="{AF515242-2BB1-4AE6-A624-E44DBE036224}" srcOrd="0" destOrd="0" presId="urn:microsoft.com/office/officeart/2005/8/layout/orgChart1"/>
    <dgm:cxn modelId="{8B2CF77F-A43D-44D4-A6C8-B82C897515B1}" type="presParOf" srcId="{7B5044AA-3D4B-4696-BB43-9B9129B9507B}" destId="{3AF97985-0ECE-4BA6-AB7B-F8213199554A}" srcOrd="1" destOrd="0" presId="urn:microsoft.com/office/officeart/2005/8/layout/orgChart1"/>
    <dgm:cxn modelId="{FBFDC01E-E362-41E6-B0EC-C64D9DE49484}" type="presParOf" srcId="{60CC80DD-F06C-4FA5-A1E7-E05CD719E3E6}" destId="{F695278B-7D7B-4E53-BAA5-E794ADD10647}" srcOrd="1" destOrd="0" presId="urn:microsoft.com/office/officeart/2005/8/layout/orgChart1"/>
    <dgm:cxn modelId="{5AAC4D0A-4168-4F0E-A073-CE2F60B3B940}" type="presParOf" srcId="{F695278B-7D7B-4E53-BAA5-E794ADD10647}" destId="{853F9544-2FBD-4A4C-99D6-1152731169BC}" srcOrd="0" destOrd="0" presId="urn:microsoft.com/office/officeart/2005/8/layout/orgChart1"/>
    <dgm:cxn modelId="{18091D75-F01E-45FC-BC88-E6143583345C}" type="presParOf" srcId="{F695278B-7D7B-4E53-BAA5-E794ADD10647}" destId="{C3F1E6B7-BD59-47C6-8F46-9F31510DB752}" srcOrd="1" destOrd="0" presId="urn:microsoft.com/office/officeart/2005/8/layout/orgChart1"/>
    <dgm:cxn modelId="{AF7E9DB5-EDBF-4940-9D22-818BCEDE46E2}" type="presParOf" srcId="{C3F1E6B7-BD59-47C6-8F46-9F31510DB752}" destId="{F254A847-2C5D-4C69-95F6-711EC5DD71D8}" srcOrd="0" destOrd="0" presId="urn:microsoft.com/office/officeart/2005/8/layout/orgChart1"/>
    <dgm:cxn modelId="{F85634C1-984B-4CC1-8CB4-C64BA4D6CA4C}" type="presParOf" srcId="{F254A847-2C5D-4C69-95F6-711EC5DD71D8}" destId="{749DA9ED-3988-443A-8CCA-41880B0189B8}" srcOrd="0" destOrd="0" presId="urn:microsoft.com/office/officeart/2005/8/layout/orgChart1"/>
    <dgm:cxn modelId="{57A20A87-C672-4446-97F5-1D20747C1007}" type="presParOf" srcId="{F254A847-2C5D-4C69-95F6-711EC5DD71D8}" destId="{06ADB631-CA97-42DF-A133-17A89762B939}" srcOrd="1" destOrd="0" presId="urn:microsoft.com/office/officeart/2005/8/layout/orgChart1"/>
    <dgm:cxn modelId="{BCC56EA9-7698-4A45-9367-AF0BD0D28AD5}" type="presParOf" srcId="{C3F1E6B7-BD59-47C6-8F46-9F31510DB752}" destId="{C8300CAB-C7EA-4318-9C81-B52560C5FFAF}" srcOrd="1" destOrd="0" presId="urn:microsoft.com/office/officeart/2005/8/layout/orgChart1"/>
    <dgm:cxn modelId="{4598DF10-5A87-486A-8C9E-DCE221338985}" type="presParOf" srcId="{C8300CAB-C7EA-4318-9C81-B52560C5FFAF}" destId="{C960DA24-8465-4B15-A270-8CA220124EBC}" srcOrd="0" destOrd="0" presId="urn:microsoft.com/office/officeart/2005/8/layout/orgChart1"/>
    <dgm:cxn modelId="{DDF517E2-B05F-403E-B910-4805A99B4E96}" type="presParOf" srcId="{C8300CAB-C7EA-4318-9C81-B52560C5FFAF}" destId="{FAD5EFF2-60A3-4229-9143-BB431AEE25A1}" srcOrd="1" destOrd="0" presId="urn:microsoft.com/office/officeart/2005/8/layout/orgChart1"/>
    <dgm:cxn modelId="{1E5D05BB-79DA-4E06-AAFD-129AD6D19EEE}" type="presParOf" srcId="{FAD5EFF2-60A3-4229-9143-BB431AEE25A1}" destId="{D4FC8D7E-C729-4C2D-888A-B2E9CC05A4D5}" srcOrd="0" destOrd="0" presId="urn:microsoft.com/office/officeart/2005/8/layout/orgChart1"/>
    <dgm:cxn modelId="{6600EB72-CE43-4468-A82B-63961BD968C6}" type="presParOf" srcId="{D4FC8D7E-C729-4C2D-888A-B2E9CC05A4D5}" destId="{E0B53851-5152-4F48-A6B3-4DC978C8BB4D}" srcOrd="0" destOrd="0" presId="urn:microsoft.com/office/officeart/2005/8/layout/orgChart1"/>
    <dgm:cxn modelId="{7353D85E-BB7A-43AE-95AE-EBF71BA95D2A}" type="presParOf" srcId="{D4FC8D7E-C729-4C2D-888A-B2E9CC05A4D5}" destId="{09E759F4-8044-4751-9500-5E1DD7A355D9}" srcOrd="1" destOrd="0" presId="urn:microsoft.com/office/officeart/2005/8/layout/orgChart1"/>
    <dgm:cxn modelId="{DAEC36D5-51D4-4270-9872-063E2582913F}" type="presParOf" srcId="{FAD5EFF2-60A3-4229-9143-BB431AEE25A1}" destId="{252FEDE5-7D41-4CF1-B919-05D53A22D7D2}" srcOrd="1" destOrd="0" presId="urn:microsoft.com/office/officeart/2005/8/layout/orgChart1"/>
    <dgm:cxn modelId="{43A3788B-827F-43B9-B036-44E5C6E87487}" type="presParOf" srcId="{FAD5EFF2-60A3-4229-9143-BB431AEE25A1}" destId="{3B420E05-30F8-489A-A395-F2DEC278AC19}" srcOrd="2" destOrd="0" presId="urn:microsoft.com/office/officeart/2005/8/layout/orgChart1"/>
    <dgm:cxn modelId="{BA0B93C2-6B7C-4341-8AE4-B3BAACE181B2}" type="presParOf" srcId="{C8300CAB-C7EA-4318-9C81-B52560C5FFAF}" destId="{849A311E-43D2-484B-853F-1A9CB3680F8F}" srcOrd="2" destOrd="0" presId="urn:microsoft.com/office/officeart/2005/8/layout/orgChart1"/>
    <dgm:cxn modelId="{2D3A8288-40BC-4B93-A179-833C3BAF9566}" type="presParOf" srcId="{C8300CAB-C7EA-4318-9C81-B52560C5FFAF}" destId="{7093C823-8E49-4FE5-B578-911A4AAA4CDA}" srcOrd="3" destOrd="0" presId="urn:microsoft.com/office/officeart/2005/8/layout/orgChart1"/>
    <dgm:cxn modelId="{A416D286-93AB-4E2F-AD19-608DE8DF219C}" type="presParOf" srcId="{7093C823-8E49-4FE5-B578-911A4AAA4CDA}" destId="{F5EFAFF5-2FA0-4730-8E1D-89C5E75269C1}" srcOrd="0" destOrd="0" presId="urn:microsoft.com/office/officeart/2005/8/layout/orgChart1"/>
    <dgm:cxn modelId="{80C218A2-3E85-41A6-A9B6-0217C420B271}" type="presParOf" srcId="{F5EFAFF5-2FA0-4730-8E1D-89C5E75269C1}" destId="{586A6A3B-16D1-4DFF-9B64-1169D6345094}" srcOrd="0" destOrd="0" presId="urn:microsoft.com/office/officeart/2005/8/layout/orgChart1"/>
    <dgm:cxn modelId="{BABBD25D-DCE2-42F3-A213-5A5C8650ABDE}" type="presParOf" srcId="{F5EFAFF5-2FA0-4730-8E1D-89C5E75269C1}" destId="{ED242C87-ED3C-4DB5-BCC5-EDC7B8AF26DA}" srcOrd="1" destOrd="0" presId="urn:microsoft.com/office/officeart/2005/8/layout/orgChart1"/>
    <dgm:cxn modelId="{3B104506-59E2-40DA-9EB2-D21562B91111}" type="presParOf" srcId="{7093C823-8E49-4FE5-B578-911A4AAA4CDA}" destId="{4864D5D0-2A13-4233-8B3B-6EFD3E470C7D}" srcOrd="1" destOrd="0" presId="urn:microsoft.com/office/officeart/2005/8/layout/orgChart1"/>
    <dgm:cxn modelId="{90B26122-BBF6-4C19-A35E-9CD96F727762}" type="presParOf" srcId="{7093C823-8E49-4FE5-B578-911A4AAA4CDA}" destId="{DF7DB7A6-05B8-41F7-8466-A2794072F6A9}" srcOrd="2" destOrd="0" presId="urn:microsoft.com/office/officeart/2005/8/layout/orgChart1"/>
    <dgm:cxn modelId="{688BDDFD-9C38-46C6-B1BC-119C537C4AF7}" type="presParOf" srcId="{C8300CAB-C7EA-4318-9C81-B52560C5FFAF}" destId="{D0FA3E89-5FEC-41FF-B7D9-FA0541BF32E7}" srcOrd="4" destOrd="0" presId="urn:microsoft.com/office/officeart/2005/8/layout/orgChart1"/>
    <dgm:cxn modelId="{489D2181-5F6C-4D8F-BFBA-42B2D8881B3E}" type="presParOf" srcId="{C8300CAB-C7EA-4318-9C81-B52560C5FFAF}" destId="{0B744495-89B1-4921-9CD6-AC36FEC91232}" srcOrd="5" destOrd="0" presId="urn:microsoft.com/office/officeart/2005/8/layout/orgChart1"/>
    <dgm:cxn modelId="{613B25BA-CBB4-4951-9BEC-2785AAFFB27E}" type="presParOf" srcId="{0B744495-89B1-4921-9CD6-AC36FEC91232}" destId="{E8BD145C-445C-4E31-A25F-1FB4B50B0925}" srcOrd="0" destOrd="0" presId="urn:microsoft.com/office/officeart/2005/8/layout/orgChart1"/>
    <dgm:cxn modelId="{C04B5CCC-2C1A-438F-AC8A-E393580F9A34}" type="presParOf" srcId="{E8BD145C-445C-4E31-A25F-1FB4B50B0925}" destId="{0E164A58-BC4B-421D-80AA-D00E71C259BE}" srcOrd="0" destOrd="0" presId="urn:microsoft.com/office/officeart/2005/8/layout/orgChart1"/>
    <dgm:cxn modelId="{B1C583EB-8FFF-4867-AFA4-653B09912DDB}" type="presParOf" srcId="{E8BD145C-445C-4E31-A25F-1FB4B50B0925}" destId="{7691D6B7-0B2F-4193-8B98-FA25EEB89AD3}" srcOrd="1" destOrd="0" presId="urn:microsoft.com/office/officeart/2005/8/layout/orgChart1"/>
    <dgm:cxn modelId="{B1FD8765-E66F-40AF-9AC1-3297692599E4}" type="presParOf" srcId="{0B744495-89B1-4921-9CD6-AC36FEC91232}" destId="{1171CDD7-D44B-4C54-9FB9-6DC137DBCFA9}" srcOrd="1" destOrd="0" presId="urn:microsoft.com/office/officeart/2005/8/layout/orgChart1"/>
    <dgm:cxn modelId="{E6695DD5-E064-4C22-9236-14D0673509A0}" type="presParOf" srcId="{0B744495-89B1-4921-9CD6-AC36FEC91232}" destId="{B889C57C-98F6-40B9-A8F3-F5DD9054F05C}" srcOrd="2" destOrd="0" presId="urn:microsoft.com/office/officeart/2005/8/layout/orgChart1"/>
    <dgm:cxn modelId="{557EC513-B16B-484E-BDBA-079BD94E6CEF}" type="presParOf" srcId="{C8300CAB-C7EA-4318-9C81-B52560C5FFAF}" destId="{EA3989DE-334E-4523-87D8-3C89BAC076E8}" srcOrd="6" destOrd="0" presId="urn:microsoft.com/office/officeart/2005/8/layout/orgChart1"/>
    <dgm:cxn modelId="{D6668024-EE99-4AD1-BD0D-C7A0ECA86A8C}" type="presParOf" srcId="{C8300CAB-C7EA-4318-9C81-B52560C5FFAF}" destId="{6A030B26-66C8-4B5C-BD83-46D435852C14}" srcOrd="7" destOrd="0" presId="urn:microsoft.com/office/officeart/2005/8/layout/orgChart1"/>
    <dgm:cxn modelId="{E545663F-640D-4E22-8B65-5A82E3B9504E}" type="presParOf" srcId="{6A030B26-66C8-4B5C-BD83-46D435852C14}" destId="{19909BD9-C938-4CF9-B687-5C11A4464763}" srcOrd="0" destOrd="0" presId="urn:microsoft.com/office/officeart/2005/8/layout/orgChart1"/>
    <dgm:cxn modelId="{BDE37C12-52F3-46BF-B007-FA9AA80616CD}" type="presParOf" srcId="{19909BD9-C938-4CF9-B687-5C11A4464763}" destId="{0DB0AE41-7ED0-4576-8D33-897192DB1F16}" srcOrd="0" destOrd="0" presId="urn:microsoft.com/office/officeart/2005/8/layout/orgChart1"/>
    <dgm:cxn modelId="{73C9FC87-66D4-46AF-918D-F484794A0DFD}" type="presParOf" srcId="{19909BD9-C938-4CF9-B687-5C11A4464763}" destId="{27891ECA-BB3A-4898-A1B8-BB6993AB1640}" srcOrd="1" destOrd="0" presId="urn:microsoft.com/office/officeart/2005/8/layout/orgChart1"/>
    <dgm:cxn modelId="{D7CFFFD4-F831-40C6-ACA6-4EF11BF4D1FE}" type="presParOf" srcId="{6A030B26-66C8-4B5C-BD83-46D435852C14}" destId="{18F19BC0-D5BF-48F7-81C7-2817256309BE}" srcOrd="1" destOrd="0" presId="urn:microsoft.com/office/officeart/2005/8/layout/orgChart1"/>
    <dgm:cxn modelId="{F0FE1C8F-92A1-4255-96CC-31B2C5BD4603}" type="presParOf" srcId="{6A030B26-66C8-4B5C-BD83-46D435852C14}" destId="{33C866A0-BF91-46E2-91A3-A39343ED3A6B}" srcOrd="2" destOrd="0" presId="urn:microsoft.com/office/officeart/2005/8/layout/orgChart1"/>
    <dgm:cxn modelId="{3A30D5E7-93E6-475F-94A0-07079D062208}" type="presParOf" srcId="{C8300CAB-C7EA-4318-9C81-B52560C5FFAF}" destId="{ECAF19D9-0A90-4F99-8474-A022F33ED8E4}" srcOrd="8" destOrd="0" presId="urn:microsoft.com/office/officeart/2005/8/layout/orgChart1"/>
    <dgm:cxn modelId="{E0399B59-691A-4725-B1EF-7E2C380F40B0}" type="presParOf" srcId="{C8300CAB-C7EA-4318-9C81-B52560C5FFAF}" destId="{2B0AB606-DF3F-45A2-9671-96CB8FCA98A0}" srcOrd="9" destOrd="0" presId="urn:microsoft.com/office/officeart/2005/8/layout/orgChart1"/>
    <dgm:cxn modelId="{FE014276-A601-4F89-A617-9D2B7F466232}" type="presParOf" srcId="{2B0AB606-DF3F-45A2-9671-96CB8FCA98A0}" destId="{B0F6D598-9CFF-41F4-8FEA-3703ED9DF561}" srcOrd="0" destOrd="0" presId="urn:microsoft.com/office/officeart/2005/8/layout/orgChart1"/>
    <dgm:cxn modelId="{D84180C3-1485-494D-8725-74F7DDC063E4}" type="presParOf" srcId="{B0F6D598-9CFF-41F4-8FEA-3703ED9DF561}" destId="{CECB82B4-3865-477B-AFAA-6C3A2C969221}" srcOrd="0" destOrd="0" presId="urn:microsoft.com/office/officeart/2005/8/layout/orgChart1"/>
    <dgm:cxn modelId="{A2ABB6E4-539A-4D01-AE3E-F9F1DD53E6E5}" type="presParOf" srcId="{B0F6D598-9CFF-41F4-8FEA-3703ED9DF561}" destId="{131E791A-5B34-408C-9779-71758E1003A6}" srcOrd="1" destOrd="0" presId="urn:microsoft.com/office/officeart/2005/8/layout/orgChart1"/>
    <dgm:cxn modelId="{1181CB8A-CBD9-4FA6-AADB-0EC903F9D9B4}" type="presParOf" srcId="{2B0AB606-DF3F-45A2-9671-96CB8FCA98A0}" destId="{2337300B-292A-4E44-9F32-EF1994FF1091}" srcOrd="1" destOrd="0" presId="urn:microsoft.com/office/officeart/2005/8/layout/orgChart1"/>
    <dgm:cxn modelId="{4801904C-0EB0-40BF-B790-CBD2593AB406}" type="presParOf" srcId="{2B0AB606-DF3F-45A2-9671-96CB8FCA98A0}" destId="{EA22D6E7-4DC2-46EA-BE06-A3408B9788F3}" srcOrd="2" destOrd="0" presId="urn:microsoft.com/office/officeart/2005/8/layout/orgChart1"/>
    <dgm:cxn modelId="{1DAB3B0B-85F5-4B05-BCC0-0D4E57FFA827}" type="presParOf" srcId="{C3F1E6B7-BD59-47C6-8F46-9F31510DB752}" destId="{8447A275-8A95-44C8-8BC1-362B497CA7D7}" srcOrd="2" destOrd="0" presId="urn:microsoft.com/office/officeart/2005/8/layout/orgChart1"/>
    <dgm:cxn modelId="{417534BC-5DDD-4106-96BA-2D88DF18FCC5}" type="presParOf" srcId="{60CC80DD-F06C-4FA5-A1E7-E05CD719E3E6}" destId="{77A56C10-E954-443D-9FF3-C1E15BFEACA5}" srcOrd="2" destOrd="0" presId="urn:microsoft.com/office/officeart/2005/8/layout/orgChart1"/>
    <dgm:cxn modelId="{7D231CF8-5D8D-442C-AAE4-464AF1596561}" type="presParOf" srcId="{08C243D2-0047-4ADA-80C0-E2F411065F16}" destId="{5FE7B2F8-3BD8-46A4-B666-C0DCCFFF3005}" srcOrd="2" destOrd="0" presId="urn:microsoft.com/office/officeart/2005/8/layout/orgChart1"/>
    <dgm:cxn modelId="{5DC0FFA7-D300-4AA5-B167-465956AC14A6}" type="presParOf" srcId="{08C243D2-0047-4ADA-80C0-E2F411065F16}" destId="{9F5CF869-3F69-4D4A-AE5C-567FF57B37C0}" srcOrd="3" destOrd="0" presId="urn:microsoft.com/office/officeart/2005/8/layout/orgChart1"/>
    <dgm:cxn modelId="{D57E5D2D-DBAC-49A8-ABBC-D9AA5D008910}" type="presParOf" srcId="{9F5CF869-3F69-4D4A-AE5C-567FF57B37C0}" destId="{5C64C99A-9E87-4B08-93A6-0F6F56B58992}" srcOrd="0" destOrd="0" presId="urn:microsoft.com/office/officeart/2005/8/layout/orgChart1"/>
    <dgm:cxn modelId="{77E99145-177F-40B9-999B-D97E782FF13F}" type="presParOf" srcId="{5C64C99A-9E87-4B08-93A6-0F6F56B58992}" destId="{1F4CBA45-75FC-4500-88D4-C013F52C9EB9}" srcOrd="0" destOrd="0" presId="urn:microsoft.com/office/officeart/2005/8/layout/orgChart1"/>
    <dgm:cxn modelId="{42729400-DB55-4B70-B11D-950DF190E4C9}" type="presParOf" srcId="{5C64C99A-9E87-4B08-93A6-0F6F56B58992}" destId="{C4C2C2DE-C8F7-4179-BFA8-88ABB5B6AF43}" srcOrd="1" destOrd="0" presId="urn:microsoft.com/office/officeart/2005/8/layout/orgChart1"/>
    <dgm:cxn modelId="{F82F1AC2-6366-407E-AC6E-7BBE45F35C4F}" type="presParOf" srcId="{9F5CF869-3F69-4D4A-AE5C-567FF57B37C0}" destId="{CE8B70A0-FE76-47C8-B1AA-EB06B72C77B4}" srcOrd="1" destOrd="0" presId="urn:microsoft.com/office/officeart/2005/8/layout/orgChart1"/>
    <dgm:cxn modelId="{0BF6C39E-DBB3-4434-B177-EAA55771AE56}" type="presParOf" srcId="{9F5CF869-3F69-4D4A-AE5C-567FF57B37C0}" destId="{9EE04C43-9ABA-4702-9D85-93C461ABFB7A}" srcOrd="2" destOrd="0" presId="urn:microsoft.com/office/officeart/2005/8/layout/orgChart1"/>
    <dgm:cxn modelId="{464FBC89-2EB8-4E86-950B-5256FBDCE85D}" type="presParOf" srcId="{8293072B-B33D-4819-B11D-9ECD66ECBD26}" destId="{6D020C5A-C221-485D-94CF-84609923CB87}"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E7B2F8-3BD8-46A4-B666-C0DCCFFF3005}">
      <dsp:nvSpPr>
        <dsp:cNvPr id="0" name=""/>
        <dsp:cNvSpPr/>
      </dsp:nvSpPr>
      <dsp:spPr>
        <a:xfrm>
          <a:off x="2892055" y="353698"/>
          <a:ext cx="426103" cy="147903"/>
        </a:xfrm>
        <a:custGeom>
          <a:avLst/>
          <a:gdLst/>
          <a:ahLst/>
          <a:cxnLst/>
          <a:rect l="0" t="0" r="0" b="0"/>
          <a:pathLst>
            <a:path>
              <a:moveTo>
                <a:pt x="0" y="0"/>
              </a:moveTo>
              <a:lnTo>
                <a:pt x="0" y="73951"/>
              </a:lnTo>
              <a:lnTo>
                <a:pt x="426103" y="73951"/>
              </a:lnTo>
              <a:lnTo>
                <a:pt x="426103" y="147903"/>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ECAF19D9-0A90-4F99-8474-A022F33ED8E4}">
      <dsp:nvSpPr>
        <dsp:cNvPr id="0" name=""/>
        <dsp:cNvSpPr/>
      </dsp:nvSpPr>
      <dsp:spPr>
        <a:xfrm>
          <a:off x="2184231" y="1353808"/>
          <a:ext cx="105645" cy="2324200"/>
        </a:xfrm>
        <a:custGeom>
          <a:avLst/>
          <a:gdLst/>
          <a:ahLst/>
          <a:cxnLst/>
          <a:rect l="0" t="0" r="0" b="0"/>
          <a:pathLst>
            <a:path>
              <a:moveTo>
                <a:pt x="0" y="0"/>
              </a:moveTo>
              <a:lnTo>
                <a:pt x="0" y="2324200"/>
              </a:lnTo>
              <a:lnTo>
                <a:pt x="105645" y="2324200"/>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EA3989DE-334E-4523-87D8-3C89BAC076E8}">
      <dsp:nvSpPr>
        <dsp:cNvPr id="0" name=""/>
        <dsp:cNvSpPr/>
      </dsp:nvSpPr>
      <dsp:spPr>
        <a:xfrm>
          <a:off x="2184231" y="1353808"/>
          <a:ext cx="105645" cy="1824145"/>
        </a:xfrm>
        <a:custGeom>
          <a:avLst/>
          <a:gdLst/>
          <a:ahLst/>
          <a:cxnLst/>
          <a:rect l="0" t="0" r="0" b="0"/>
          <a:pathLst>
            <a:path>
              <a:moveTo>
                <a:pt x="0" y="0"/>
              </a:moveTo>
              <a:lnTo>
                <a:pt x="0" y="1824145"/>
              </a:lnTo>
              <a:lnTo>
                <a:pt x="105645" y="1824145"/>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D0FA3E89-5FEC-41FF-B7D9-FA0541BF32E7}">
      <dsp:nvSpPr>
        <dsp:cNvPr id="0" name=""/>
        <dsp:cNvSpPr/>
      </dsp:nvSpPr>
      <dsp:spPr>
        <a:xfrm>
          <a:off x="2184231" y="1353808"/>
          <a:ext cx="105645" cy="1324089"/>
        </a:xfrm>
        <a:custGeom>
          <a:avLst/>
          <a:gdLst/>
          <a:ahLst/>
          <a:cxnLst/>
          <a:rect l="0" t="0" r="0" b="0"/>
          <a:pathLst>
            <a:path>
              <a:moveTo>
                <a:pt x="0" y="0"/>
              </a:moveTo>
              <a:lnTo>
                <a:pt x="0" y="1324089"/>
              </a:lnTo>
              <a:lnTo>
                <a:pt x="105645" y="1324089"/>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849A311E-43D2-484B-853F-1A9CB3680F8F}">
      <dsp:nvSpPr>
        <dsp:cNvPr id="0" name=""/>
        <dsp:cNvSpPr/>
      </dsp:nvSpPr>
      <dsp:spPr>
        <a:xfrm>
          <a:off x="2184231" y="1353808"/>
          <a:ext cx="105645" cy="824034"/>
        </a:xfrm>
        <a:custGeom>
          <a:avLst/>
          <a:gdLst/>
          <a:ahLst/>
          <a:cxnLst/>
          <a:rect l="0" t="0" r="0" b="0"/>
          <a:pathLst>
            <a:path>
              <a:moveTo>
                <a:pt x="0" y="0"/>
              </a:moveTo>
              <a:lnTo>
                <a:pt x="0" y="824034"/>
              </a:lnTo>
              <a:lnTo>
                <a:pt x="105645" y="824034"/>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C960DA24-8465-4B15-A270-8CA220124EBC}">
      <dsp:nvSpPr>
        <dsp:cNvPr id="0" name=""/>
        <dsp:cNvSpPr/>
      </dsp:nvSpPr>
      <dsp:spPr>
        <a:xfrm>
          <a:off x="2184231" y="1353808"/>
          <a:ext cx="105645" cy="323979"/>
        </a:xfrm>
        <a:custGeom>
          <a:avLst/>
          <a:gdLst/>
          <a:ahLst/>
          <a:cxnLst/>
          <a:rect l="0" t="0" r="0" b="0"/>
          <a:pathLst>
            <a:path>
              <a:moveTo>
                <a:pt x="0" y="0"/>
              </a:moveTo>
              <a:lnTo>
                <a:pt x="0" y="323979"/>
              </a:lnTo>
              <a:lnTo>
                <a:pt x="105645" y="323979"/>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853F9544-2FBD-4A4C-99D6-1152731169BC}">
      <dsp:nvSpPr>
        <dsp:cNvPr id="0" name=""/>
        <dsp:cNvSpPr/>
      </dsp:nvSpPr>
      <dsp:spPr>
        <a:xfrm>
          <a:off x="2420232" y="853753"/>
          <a:ext cx="91440" cy="147903"/>
        </a:xfrm>
        <a:custGeom>
          <a:avLst/>
          <a:gdLst/>
          <a:ahLst/>
          <a:cxnLst/>
          <a:rect l="0" t="0" r="0" b="0"/>
          <a:pathLst>
            <a:path>
              <a:moveTo>
                <a:pt x="45720" y="0"/>
              </a:moveTo>
              <a:lnTo>
                <a:pt x="45720" y="147903"/>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BB8A99BE-755F-4DEE-8362-4687E4CB2314}">
      <dsp:nvSpPr>
        <dsp:cNvPr id="0" name=""/>
        <dsp:cNvSpPr/>
      </dsp:nvSpPr>
      <dsp:spPr>
        <a:xfrm>
          <a:off x="2465952" y="353698"/>
          <a:ext cx="426103" cy="147903"/>
        </a:xfrm>
        <a:custGeom>
          <a:avLst/>
          <a:gdLst/>
          <a:ahLst/>
          <a:cxnLst/>
          <a:rect l="0" t="0" r="0" b="0"/>
          <a:pathLst>
            <a:path>
              <a:moveTo>
                <a:pt x="426103" y="0"/>
              </a:moveTo>
              <a:lnTo>
                <a:pt x="426103" y="73951"/>
              </a:lnTo>
              <a:lnTo>
                <a:pt x="0" y="73951"/>
              </a:lnTo>
              <a:lnTo>
                <a:pt x="0" y="147903"/>
              </a:lnTo>
            </a:path>
          </a:pathLst>
        </a:custGeom>
        <a:noFill/>
        <a:ln w="6350" cap="flat" cmpd="sng" algn="ctr">
          <a:solidFill>
            <a:schemeClr val="dk1"/>
          </a:solidFill>
          <a:prstDash val="solid"/>
          <a:miter lim="800000"/>
        </a:ln>
        <a:effectLst/>
      </dsp:spPr>
      <dsp:style>
        <a:lnRef idx="1">
          <a:schemeClr val="dk1"/>
        </a:lnRef>
        <a:fillRef idx="0">
          <a:schemeClr val="dk1"/>
        </a:fillRef>
        <a:effectRef idx="0">
          <a:schemeClr val="dk1"/>
        </a:effectRef>
        <a:fontRef idx="minor">
          <a:schemeClr val="tx1"/>
        </a:fontRef>
      </dsp:style>
    </dsp:sp>
    <dsp:sp modelId="{ECCC66E4-2E2D-4F43-B927-2C7E4953CD7A}">
      <dsp:nvSpPr>
        <dsp:cNvPr id="0" name=""/>
        <dsp:cNvSpPr/>
      </dsp:nvSpPr>
      <dsp:spPr>
        <a:xfrm>
          <a:off x="2539904" y="1546"/>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CenterPoint Energy Service Company</a:t>
          </a:r>
        </a:p>
      </dsp:txBody>
      <dsp:txXfrm>
        <a:off x="2539904" y="1546"/>
        <a:ext cx="704303" cy="352151"/>
      </dsp:txXfrm>
    </dsp:sp>
    <dsp:sp modelId="{AF515242-2BB1-4AE6-A624-E44DBE036224}">
      <dsp:nvSpPr>
        <dsp:cNvPr id="0" name=""/>
        <dsp:cNvSpPr/>
      </dsp:nvSpPr>
      <dsp:spPr>
        <a:xfrm>
          <a:off x="2113800" y="501602"/>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Corporate Services</a:t>
          </a:r>
        </a:p>
      </dsp:txBody>
      <dsp:txXfrm>
        <a:off x="2113800" y="501602"/>
        <a:ext cx="704303" cy="352151"/>
      </dsp:txXfrm>
    </dsp:sp>
    <dsp:sp modelId="{749DA9ED-3988-443A-8CCA-41880B0189B8}">
      <dsp:nvSpPr>
        <dsp:cNvPr id="0" name=""/>
        <dsp:cNvSpPr/>
      </dsp:nvSpPr>
      <dsp:spPr>
        <a:xfrm>
          <a:off x="2113800" y="1001657"/>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Regulatory Services and Government Affairs</a:t>
          </a:r>
        </a:p>
      </dsp:txBody>
      <dsp:txXfrm>
        <a:off x="2113800" y="1001657"/>
        <a:ext cx="704303" cy="352151"/>
      </dsp:txXfrm>
    </dsp:sp>
    <dsp:sp modelId="{E0B53851-5152-4F48-A6B3-4DC978C8BB4D}">
      <dsp:nvSpPr>
        <dsp:cNvPr id="0" name=""/>
        <dsp:cNvSpPr/>
      </dsp:nvSpPr>
      <dsp:spPr>
        <a:xfrm>
          <a:off x="2289876" y="1501712"/>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Rates and Regulatory Portfolio Management</a:t>
          </a:r>
        </a:p>
      </dsp:txBody>
      <dsp:txXfrm>
        <a:off x="2289876" y="1501712"/>
        <a:ext cx="704303" cy="352151"/>
      </dsp:txXfrm>
    </dsp:sp>
    <dsp:sp modelId="{586A6A3B-16D1-4DFF-9B64-1169D6345094}">
      <dsp:nvSpPr>
        <dsp:cNvPr id="0" name=""/>
        <dsp:cNvSpPr/>
      </dsp:nvSpPr>
      <dsp:spPr>
        <a:xfrm>
          <a:off x="2289876" y="2001767"/>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Regulatory Relations</a:t>
          </a:r>
        </a:p>
      </dsp:txBody>
      <dsp:txXfrm>
        <a:off x="2289876" y="2001767"/>
        <a:ext cx="704303" cy="352151"/>
      </dsp:txXfrm>
    </dsp:sp>
    <dsp:sp modelId="{0E164A58-BC4B-421D-80AA-D00E71C259BE}">
      <dsp:nvSpPr>
        <dsp:cNvPr id="0" name=""/>
        <dsp:cNvSpPr/>
      </dsp:nvSpPr>
      <dsp:spPr>
        <a:xfrm>
          <a:off x="2289876" y="2501823"/>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Regulatory Policy</a:t>
          </a:r>
        </a:p>
      </dsp:txBody>
      <dsp:txXfrm>
        <a:off x="2289876" y="2501823"/>
        <a:ext cx="704303" cy="352151"/>
      </dsp:txXfrm>
    </dsp:sp>
    <dsp:sp modelId="{0DB0AE41-7ED0-4576-8D33-897192DB1F16}">
      <dsp:nvSpPr>
        <dsp:cNvPr id="0" name=""/>
        <dsp:cNvSpPr/>
      </dsp:nvSpPr>
      <dsp:spPr>
        <a:xfrm>
          <a:off x="2289876" y="3001878"/>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Local, State and Federal Government Affairs</a:t>
          </a:r>
        </a:p>
      </dsp:txBody>
      <dsp:txXfrm>
        <a:off x="2289876" y="3001878"/>
        <a:ext cx="704303" cy="352151"/>
      </dsp:txXfrm>
    </dsp:sp>
    <dsp:sp modelId="{CECB82B4-3865-477B-AFAA-6C3A2C969221}">
      <dsp:nvSpPr>
        <dsp:cNvPr id="0" name=""/>
        <dsp:cNvSpPr/>
      </dsp:nvSpPr>
      <dsp:spPr>
        <a:xfrm>
          <a:off x="2289876" y="3501933"/>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Regulatory Legal</a:t>
          </a:r>
        </a:p>
      </dsp:txBody>
      <dsp:txXfrm>
        <a:off x="2289876" y="3501933"/>
        <a:ext cx="704303" cy="352151"/>
      </dsp:txXfrm>
    </dsp:sp>
    <dsp:sp modelId="{1F4CBA45-75FC-4500-88D4-C013F52C9EB9}">
      <dsp:nvSpPr>
        <dsp:cNvPr id="0" name=""/>
        <dsp:cNvSpPr/>
      </dsp:nvSpPr>
      <dsp:spPr>
        <a:xfrm>
          <a:off x="2966007" y="501602"/>
          <a:ext cx="704303" cy="352151"/>
        </a:xfrm>
        <a:prstGeom prst="rect">
          <a:avLst/>
        </a:prstGeom>
        <a:solidFill>
          <a:schemeClr val="lt1"/>
        </a:solidFill>
        <a:ln w="12700" cap="flat" cmpd="sng" algn="ctr">
          <a:solidFill>
            <a:schemeClr val="dk1"/>
          </a:solidFill>
          <a:prstDash val="solid"/>
          <a:miter lim="800000"/>
        </a:ln>
        <a:effectLst/>
        <a:scene3d>
          <a:camera prst="orthographicFront"/>
          <a:lightRig rig="flat" dir="t"/>
        </a:scene3d>
        <a:sp3d/>
      </dsp:spPr>
      <dsp:style>
        <a:lnRef idx="2">
          <a:schemeClr val="dk1"/>
        </a:lnRef>
        <a:fillRef idx="1">
          <a:schemeClr val="lt1"/>
        </a:fillRef>
        <a:effectRef idx="0">
          <a:schemeClr val="dk1"/>
        </a:effectRef>
        <a:fontRef idx="minor">
          <a:schemeClr val="dk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Customer Transformation and Business Services</a:t>
          </a:r>
        </a:p>
      </dsp:txBody>
      <dsp:txXfrm>
        <a:off x="2966007" y="501602"/>
        <a:ext cx="704303" cy="35215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01E1-7920-48C3-B664-72D706D0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3149</Words>
  <Characters>17953</Characters>
  <Application>Microsoft Office Word</Application>
  <DocSecurity>2</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2024-02-21T18:43:00Z</dcterms:created>
  <dcterms:modified xsi:type="dcterms:W3CDTF">2024-02-27T22:38:00Z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2024-02-21T18:43:40Z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074c0a1b-d7e5-4f5c-8472-53a60f758ab8</vt:lpwstr>
  </property>
  <property fmtid="{D5CDD505-2E9C-101B-9397-08002B2CF9AE}" pid="8" name="MSIP_Label_e3ac3a1a-de19-428b-b395-6d250d7743fb_ContentBits">
    <vt:lpwstr>0</vt:lpwstr>
  </property>
</Properties>
</file>